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D99566" w14:textId="77777777" w:rsidR="00495C83" w:rsidRPr="009C2CDD" w:rsidRDefault="00495C83" w:rsidP="00495C83">
      <w:pPr>
        <w:pStyle w:val="NarrativeSummary1"/>
        <w:spacing w:line="240" w:lineRule="auto"/>
      </w:pPr>
      <w:bookmarkStart w:id="0" w:name="_GoBack"/>
      <w:bookmarkEnd w:id="0"/>
      <w:r w:rsidRPr="009C2CDD">
        <w:t>PUC DOCKET NO. 50806</w:t>
      </w:r>
    </w:p>
    <w:p w14:paraId="1C46DC96" w14:textId="77777777" w:rsidR="00A87283" w:rsidRPr="009C2CDD" w:rsidRDefault="00331BB3" w:rsidP="00A87283">
      <w:pPr>
        <w:pStyle w:val="NarrativeSummary1"/>
        <w:spacing w:line="240" w:lineRule="auto"/>
      </w:pPr>
      <w:r w:rsidRPr="009C2CDD">
        <w:t>SOAH DOCKET NO. 473-20-3633</w:t>
      </w:r>
    </w:p>
    <w:p w14:paraId="58B8C520" w14:textId="77777777" w:rsidR="00A87283" w:rsidRPr="009C2CDD" w:rsidRDefault="00F90638" w:rsidP="00A87283">
      <w:pPr>
        <w:jc w:val="center"/>
        <w:rPr>
          <w:b/>
        </w:rPr>
      </w:pPr>
    </w:p>
    <w:tbl>
      <w:tblPr>
        <w:tblW w:w="0" w:type="auto"/>
        <w:tblLook w:val="01E0" w:firstRow="1" w:lastRow="1" w:firstColumn="1" w:lastColumn="1" w:noHBand="0" w:noVBand="0"/>
      </w:tblPr>
      <w:tblGrid>
        <w:gridCol w:w="4230"/>
        <w:gridCol w:w="688"/>
        <w:gridCol w:w="4442"/>
      </w:tblGrid>
      <w:tr w:rsidR="00AC4270" w:rsidRPr="009C2CDD" w14:paraId="52E02F95" w14:textId="77777777" w:rsidTr="00E84086">
        <w:trPr>
          <w:trHeight w:val="1422"/>
        </w:trPr>
        <w:tc>
          <w:tcPr>
            <w:tcW w:w="4230" w:type="dxa"/>
          </w:tcPr>
          <w:p w14:paraId="436F42C1" w14:textId="77777777" w:rsidR="00A87283" w:rsidRPr="009C2CDD" w:rsidRDefault="00331BB3" w:rsidP="0035694A">
            <w:pPr>
              <w:rPr>
                <w:b/>
              </w:rPr>
            </w:pPr>
            <w:r w:rsidRPr="009C2CDD">
              <w:rPr>
                <w:b/>
                <w:bCs/>
              </w:rPr>
              <w:t>APPLICATION OF EL PASO ELECTRIC COMPANY TO ADJUST ITS ENERGY EFFICIENCY COST RECOVERY FACTOR AND ESTABLISH A REVISED COST CAP</w:t>
            </w:r>
          </w:p>
        </w:tc>
        <w:tc>
          <w:tcPr>
            <w:tcW w:w="688" w:type="dxa"/>
          </w:tcPr>
          <w:p w14:paraId="1E60AFB2" w14:textId="77777777" w:rsidR="00A87283" w:rsidRPr="009C2CDD" w:rsidRDefault="00331BB3" w:rsidP="0035694A">
            <w:pPr>
              <w:jc w:val="center"/>
              <w:rPr>
                <w:b/>
              </w:rPr>
            </w:pPr>
            <w:r w:rsidRPr="009C2CDD">
              <w:rPr>
                <w:b/>
              </w:rPr>
              <w:t>§</w:t>
            </w:r>
          </w:p>
          <w:p w14:paraId="7E41015F" w14:textId="77777777" w:rsidR="00A87283" w:rsidRPr="009C2CDD" w:rsidRDefault="00331BB3" w:rsidP="0035694A">
            <w:pPr>
              <w:jc w:val="center"/>
              <w:rPr>
                <w:b/>
              </w:rPr>
            </w:pPr>
            <w:r w:rsidRPr="009C2CDD">
              <w:rPr>
                <w:b/>
              </w:rPr>
              <w:t>§</w:t>
            </w:r>
          </w:p>
          <w:p w14:paraId="1EDEA52E" w14:textId="77777777" w:rsidR="00A87283" w:rsidRPr="009C2CDD" w:rsidRDefault="00331BB3" w:rsidP="0035694A">
            <w:pPr>
              <w:jc w:val="center"/>
              <w:rPr>
                <w:b/>
              </w:rPr>
            </w:pPr>
            <w:r w:rsidRPr="009C2CDD">
              <w:rPr>
                <w:b/>
              </w:rPr>
              <w:t>§</w:t>
            </w:r>
          </w:p>
          <w:p w14:paraId="5E739F5D" w14:textId="77777777" w:rsidR="00A87283" w:rsidRPr="009C2CDD" w:rsidRDefault="00331BB3" w:rsidP="0035694A">
            <w:pPr>
              <w:jc w:val="center"/>
              <w:rPr>
                <w:b/>
              </w:rPr>
            </w:pPr>
            <w:r w:rsidRPr="009C2CDD">
              <w:rPr>
                <w:b/>
              </w:rPr>
              <w:t>§</w:t>
            </w:r>
          </w:p>
          <w:p w14:paraId="14B5A1D5" w14:textId="77777777" w:rsidR="00A87283" w:rsidRPr="009C2CDD" w:rsidRDefault="00331BB3" w:rsidP="0035694A">
            <w:pPr>
              <w:jc w:val="center"/>
              <w:rPr>
                <w:b/>
              </w:rPr>
            </w:pPr>
            <w:r w:rsidRPr="009C2CDD">
              <w:rPr>
                <w:b/>
              </w:rPr>
              <w:t>§</w:t>
            </w:r>
          </w:p>
        </w:tc>
        <w:tc>
          <w:tcPr>
            <w:tcW w:w="4442" w:type="dxa"/>
          </w:tcPr>
          <w:p w14:paraId="170E2333" w14:textId="6B130A0D" w:rsidR="00A87283" w:rsidRPr="009C2CDD" w:rsidRDefault="00F90638" w:rsidP="0035694A">
            <w:pPr>
              <w:jc w:val="center"/>
              <w:rPr>
                <w:rFonts w:eastAsia="Calibri"/>
                <w:b/>
              </w:rPr>
            </w:pPr>
          </w:p>
          <w:p w14:paraId="1469258F" w14:textId="3509B568" w:rsidR="00A87283" w:rsidRPr="009C2CDD" w:rsidRDefault="00495C83" w:rsidP="0035694A">
            <w:pPr>
              <w:jc w:val="center"/>
              <w:rPr>
                <w:rFonts w:eastAsia="Calibri"/>
                <w:b/>
              </w:rPr>
            </w:pPr>
            <w:r w:rsidRPr="009C2CDD">
              <w:rPr>
                <w:rFonts w:eastAsia="Calibri"/>
                <w:b/>
              </w:rPr>
              <w:t>PUBLIC UTILITY COMMISSION</w:t>
            </w:r>
          </w:p>
          <w:p w14:paraId="20D2A41C" w14:textId="1E852722" w:rsidR="00A87283" w:rsidRPr="009C2CDD" w:rsidRDefault="00331BB3" w:rsidP="0035694A">
            <w:pPr>
              <w:jc w:val="center"/>
              <w:rPr>
                <w:rFonts w:eastAsia="Calibri"/>
                <w:b/>
              </w:rPr>
            </w:pPr>
            <w:r w:rsidRPr="009C2CDD">
              <w:rPr>
                <w:rFonts w:eastAsia="Calibri"/>
                <w:b/>
              </w:rPr>
              <w:t xml:space="preserve">OF </w:t>
            </w:r>
            <w:r w:rsidR="00495C83" w:rsidRPr="009C2CDD">
              <w:rPr>
                <w:rFonts w:eastAsia="Calibri"/>
                <w:b/>
              </w:rPr>
              <w:t xml:space="preserve">TEXAS </w:t>
            </w:r>
          </w:p>
          <w:p w14:paraId="4BEE92C0" w14:textId="77777777" w:rsidR="00A87283" w:rsidRPr="009C2CDD" w:rsidRDefault="00F90638" w:rsidP="0035694A">
            <w:pPr>
              <w:jc w:val="center"/>
              <w:rPr>
                <w:rFonts w:eastAsia="Calibri"/>
                <w:b/>
              </w:rPr>
            </w:pPr>
          </w:p>
          <w:p w14:paraId="1A809BA8" w14:textId="54758DF5" w:rsidR="00A87283" w:rsidRPr="009C2CDD" w:rsidRDefault="00F90638" w:rsidP="0035694A">
            <w:pPr>
              <w:jc w:val="center"/>
              <w:rPr>
                <w:b/>
              </w:rPr>
            </w:pPr>
          </w:p>
        </w:tc>
      </w:tr>
    </w:tbl>
    <w:p w14:paraId="5499A84A" w14:textId="77777777" w:rsidR="000452B2" w:rsidRPr="009C2CDD" w:rsidRDefault="000452B2" w:rsidP="00E84086">
      <w:pPr>
        <w:spacing w:before="69"/>
        <w:ind w:right="20"/>
        <w:jc w:val="center"/>
        <w:sectPr w:rsidR="000452B2" w:rsidRPr="009C2CDD" w:rsidSect="000452B2">
          <w:headerReference w:type="even" r:id="rId7"/>
          <w:headerReference w:type="default" r:id="rId8"/>
          <w:footerReference w:type="even" r:id="rId9"/>
          <w:footerReference w:type="default" r:id="rId10"/>
          <w:headerReference w:type="first" r:id="rId11"/>
          <w:footerReference w:type="first" r:id="rId12"/>
          <w:pgSz w:w="12260" w:h="15860"/>
          <w:pgMar w:top="1440" w:right="1440" w:bottom="1440" w:left="1440" w:header="720" w:footer="720" w:gutter="0"/>
          <w:cols w:space="720"/>
        </w:sectPr>
      </w:pPr>
    </w:p>
    <w:p w14:paraId="55313DD5" w14:textId="0F23344A" w:rsidR="00A87283" w:rsidRPr="009C2CDD" w:rsidRDefault="00F90638" w:rsidP="00E84086">
      <w:pPr>
        <w:spacing w:before="69"/>
        <w:ind w:right="20"/>
        <w:jc w:val="center"/>
      </w:pPr>
    </w:p>
    <w:p w14:paraId="5D1E097E" w14:textId="77777777" w:rsidR="002F4BB8" w:rsidRPr="009C2CDD" w:rsidRDefault="00331BB3" w:rsidP="00E84086">
      <w:pPr>
        <w:spacing w:before="69"/>
        <w:ind w:right="20"/>
        <w:jc w:val="center"/>
        <w:rPr>
          <w:rFonts w:eastAsia="Times New Roman" w:cs="Times New Roman"/>
          <w:b/>
          <w:szCs w:val="24"/>
        </w:rPr>
      </w:pPr>
      <w:r w:rsidRPr="009C2CDD">
        <w:rPr>
          <w:b/>
        </w:rPr>
        <w:t>ORDER</w:t>
      </w:r>
    </w:p>
    <w:p w14:paraId="645EFCF0" w14:textId="77777777" w:rsidR="002F4BB8" w:rsidRPr="009C2CDD" w:rsidRDefault="00F90638" w:rsidP="005C5434">
      <w:pPr>
        <w:pStyle w:val="BodyText"/>
      </w:pPr>
    </w:p>
    <w:p w14:paraId="2B1A7F0C" w14:textId="77777777" w:rsidR="002F4BB8" w:rsidRPr="009C2CDD" w:rsidRDefault="00331BB3" w:rsidP="00A87283">
      <w:pPr>
        <w:pStyle w:val="BodyText"/>
        <w:rPr>
          <w:rFonts w:cs="Times New Roman"/>
          <w:szCs w:val="24"/>
        </w:rPr>
      </w:pPr>
      <w:r w:rsidRPr="009C2CDD">
        <w:t xml:space="preserve">This Order addresses the application of El Paso Electric Company (EPE) for approval of an </w:t>
      </w:r>
      <w:r w:rsidR="00887B8C" w:rsidRPr="009C2CDD">
        <w:t>E</w:t>
      </w:r>
      <w:r w:rsidRPr="009C2CDD">
        <w:t xml:space="preserve">nergy </w:t>
      </w:r>
      <w:r w:rsidR="00887B8C" w:rsidRPr="009C2CDD">
        <w:t>E</w:t>
      </w:r>
      <w:r w:rsidRPr="009C2CDD">
        <w:t xml:space="preserve">fficiency </w:t>
      </w:r>
      <w:r w:rsidR="00887B8C" w:rsidRPr="009C2CDD">
        <w:t>C</w:t>
      </w:r>
      <w:r w:rsidRPr="009C2CDD">
        <w:t xml:space="preserve">ost </w:t>
      </w:r>
      <w:r w:rsidR="00887B8C" w:rsidRPr="009C2CDD">
        <w:t>R</w:t>
      </w:r>
      <w:r w:rsidRPr="009C2CDD">
        <w:t xml:space="preserve">ecovery </w:t>
      </w:r>
      <w:r w:rsidR="00887B8C" w:rsidRPr="009C2CDD">
        <w:t>F</w:t>
      </w:r>
      <w:r w:rsidRPr="009C2CDD">
        <w:t>actor (EECRF).  EPE filed an unopposed agreement that resolves certain issues among the parties in this proceeding.  The Commission approves EPE’s EECRF, as modified by the agreement, to the extent provided in this Order.</w:t>
      </w:r>
    </w:p>
    <w:p w14:paraId="3288AC81" w14:textId="77777777" w:rsidR="002F4BB8" w:rsidRPr="009C2CDD" w:rsidRDefault="00F90638">
      <w:pPr>
        <w:spacing w:before="2"/>
        <w:rPr>
          <w:rFonts w:eastAsia="Times New Roman" w:cs="Times New Roman"/>
          <w:sz w:val="21"/>
          <w:szCs w:val="21"/>
        </w:rPr>
      </w:pPr>
    </w:p>
    <w:p w14:paraId="404E8CBB" w14:textId="77777777" w:rsidR="00A87283" w:rsidRPr="009C2CDD" w:rsidRDefault="00331BB3" w:rsidP="00A87283">
      <w:pPr>
        <w:pStyle w:val="Heading1"/>
        <w:rPr>
          <w:rFonts w:hAnsi="Times New Roman" w:cs="Times New Roman"/>
        </w:rPr>
      </w:pPr>
      <w:r w:rsidRPr="009C2CDD">
        <w:t xml:space="preserve">Findings of Fact </w:t>
      </w:r>
    </w:p>
    <w:p w14:paraId="2079C0CC" w14:textId="77777777" w:rsidR="002F4BB8" w:rsidRPr="009C2CDD" w:rsidRDefault="00331BB3" w:rsidP="00A87283">
      <w:pPr>
        <w:pStyle w:val="BodyText"/>
        <w:rPr>
          <w:rFonts w:cs="Times New Roman"/>
        </w:rPr>
      </w:pPr>
      <w:r w:rsidRPr="009C2CDD">
        <w:t>The Commission makes the following findings of fact.</w:t>
      </w:r>
    </w:p>
    <w:p w14:paraId="79E603EF" w14:textId="77777777" w:rsidR="000D36F0" w:rsidRPr="009C2CDD" w:rsidRDefault="00331BB3" w:rsidP="000D36F0">
      <w:pPr>
        <w:pStyle w:val="TopicSubheading"/>
      </w:pPr>
      <w:r w:rsidRPr="009C2CDD">
        <w:t xml:space="preserve">Applicant </w:t>
      </w:r>
      <w:r w:rsidRPr="009C2CDD">
        <w:rPr>
          <w:b w:val="0"/>
          <w:sz w:val="20"/>
          <w:szCs w:val="20"/>
        </w:rPr>
        <w:t>PURA § 31.002(6) and 16 TAC § 25.181(b)</w:t>
      </w:r>
    </w:p>
    <w:p w14:paraId="0831E003" w14:textId="77777777" w:rsidR="002F4BB8" w:rsidRPr="009C2CDD" w:rsidRDefault="00331BB3" w:rsidP="00F23389">
      <w:pPr>
        <w:pStyle w:val="FoFNumber"/>
      </w:pPr>
      <w:r w:rsidRPr="009C2CDD">
        <w:t>EPE is a Texas corporation whose principal offices are located in El Paso, Texas.</w:t>
      </w:r>
    </w:p>
    <w:p w14:paraId="7C6B940D" w14:textId="77777777" w:rsidR="002F4BB8" w:rsidRPr="009C2CDD" w:rsidRDefault="00331BB3" w:rsidP="00F23389">
      <w:pPr>
        <w:pStyle w:val="FoFNumber"/>
        <w:rPr>
          <w:rFonts w:eastAsia="Times New Roman" w:cs="Times New Roman"/>
          <w:szCs w:val="24"/>
        </w:rPr>
      </w:pPr>
      <w:r w:rsidRPr="009C2CDD">
        <w:t>EPE provides electric generation, transmission, and distribution services in Texas under certificate of convenience and necessity number 30050.</w:t>
      </w:r>
    </w:p>
    <w:p w14:paraId="461BA312" w14:textId="77777777" w:rsidR="000D36F0" w:rsidRPr="009C2CDD" w:rsidRDefault="00331BB3" w:rsidP="000D36F0">
      <w:pPr>
        <w:pStyle w:val="TopicSubheading"/>
      </w:pPr>
      <w:r w:rsidRPr="009C2CDD">
        <w:t xml:space="preserve">Application </w:t>
      </w:r>
      <w:r w:rsidRPr="009C2CDD">
        <w:rPr>
          <w:b w:val="0"/>
          <w:sz w:val="20"/>
          <w:szCs w:val="20"/>
        </w:rPr>
        <w:t>16 TAC §§ 25.182(d)(8), (d)(10)(A)-(M) and (d)(11)(A)-(J)</w:t>
      </w:r>
    </w:p>
    <w:p w14:paraId="2D4BB631" w14:textId="77777777" w:rsidR="002F4BB8" w:rsidRPr="009C2CDD" w:rsidRDefault="00331BB3" w:rsidP="00F23389">
      <w:pPr>
        <w:pStyle w:val="FoFNumber"/>
      </w:pPr>
      <w:r w:rsidRPr="009C2CDD">
        <w:t>On May 1, 2020, EPE filed an application for authority to adjust its EECRF tariff, beginning with the first billing cycle of its January 2021 billing month and to establish a revised cost cap for 2021.</w:t>
      </w:r>
    </w:p>
    <w:p w14:paraId="4C9948AC" w14:textId="77777777" w:rsidR="002F4BB8" w:rsidRPr="009C2CDD" w:rsidRDefault="00331BB3" w:rsidP="00F23389">
      <w:pPr>
        <w:pStyle w:val="FoFNumber"/>
        <w:rPr>
          <w:rFonts w:eastAsia="Times New Roman" w:cs="Times New Roman"/>
          <w:szCs w:val="24"/>
        </w:rPr>
      </w:pPr>
      <w:r w:rsidRPr="009C2CDD">
        <w:t>No party objected to the sufficiency of the application.</w:t>
      </w:r>
    </w:p>
    <w:p w14:paraId="2F85C447" w14:textId="77777777" w:rsidR="002F4BB8" w:rsidRPr="009C2CDD" w:rsidRDefault="00331BB3" w:rsidP="00F23389">
      <w:pPr>
        <w:pStyle w:val="FoFNumber"/>
        <w:rPr>
          <w:rFonts w:eastAsia="Times New Roman" w:cs="Times New Roman"/>
          <w:szCs w:val="24"/>
        </w:rPr>
      </w:pPr>
      <w:r w:rsidRPr="009C2CDD">
        <w:t>In the application, EPE sought Commission approval to adjust its EECRF to recover $5,977,584 during program year 2021.  The amount included the following:</w:t>
      </w:r>
    </w:p>
    <w:p w14:paraId="39C7B0CF" w14:textId="77777777" w:rsidR="002F4BB8" w:rsidRPr="009C2CDD" w:rsidRDefault="00331BB3" w:rsidP="000D36F0">
      <w:pPr>
        <w:pStyle w:val="aList"/>
      </w:pPr>
      <w:r w:rsidRPr="009C2CDD">
        <w:t>EPE’s forecasted energy-efficiency costs of $4,685,552 in program year 2021;</w:t>
      </w:r>
    </w:p>
    <w:p w14:paraId="3CD6C6F2" w14:textId="1A20A4DB" w:rsidR="002F4BB8" w:rsidRPr="009C2CDD" w:rsidRDefault="00331BB3" w:rsidP="0019240F">
      <w:pPr>
        <w:pStyle w:val="aList"/>
        <w:rPr>
          <w:rFonts w:cs="Times New Roman"/>
          <w:szCs w:val="24"/>
        </w:rPr>
      </w:pPr>
      <w:r w:rsidRPr="009C2CDD">
        <w:t xml:space="preserve">Projected </w:t>
      </w:r>
      <w:r w:rsidR="00887B8C" w:rsidRPr="009C2CDD">
        <w:t>E</w:t>
      </w:r>
      <w:r w:rsidRPr="009C2CDD">
        <w:t xml:space="preserve">valuation, </w:t>
      </w:r>
      <w:r w:rsidR="00887B8C" w:rsidRPr="009C2CDD">
        <w:t>M</w:t>
      </w:r>
      <w:r w:rsidRPr="009C2CDD">
        <w:t xml:space="preserve">easurement, and </w:t>
      </w:r>
      <w:r w:rsidR="00887B8C" w:rsidRPr="009C2CDD">
        <w:t>V</w:t>
      </w:r>
      <w:r w:rsidRPr="009C2CDD">
        <w:t xml:space="preserve">erification (EM&amp;V) expenses for </w:t>
      </w:r>
      <w:r w:rsidRPr="009C2CDD">
        <w:lastRenderedPageBreak/>
        <w:t>program year 2021 in the amount of $57,378;</w:t>
      </w:r>
    </w:p>
    <w:p w14:paraId="169B1246" w14:textId="7D29E2C5" w:rsidR="002F4BB8" w:rsidRPr="009C2CDD" w:rsidRDefault="00331BB3" w:rsidP="00E605A5">
      <w:pPr>
        <w:pStyle w:val="aList"/>
      </w:pPr>
      <w:bookmarkStart w:id="1" w:name="Page_3"/>
      <w:bookmarkEnd w:id="1"/>
      <w:r w:rsidRPr="009C2CDD">
        <w:t>An adjustment of $2,455</w:t>
      </w:r>
      <w:r w:rsidR="00E605A5" w:rsidRPr="009C2CDD">
        <w:t>, including interest,</w:t>
      </w:r>
      <w:r w:rsidRPr="009C2CDD">
        <w:t xml:space="preserve"> for EPE’s net under-recovery, of program year 2019 energy-efficiency costs;</w:t>
      </w:r>
    </w:p>
    <w:p w14:paraId="5618D188" w14:textId="3DF7AF9F" w:rsidR="002F4BB8" w:rsidRPr="009C2CDD" w:rsidRDefault="00331BB3" w:rsidP="000D36F0">
      <w:pPr>
        <w:pStyle w:val="aList"/>
      </w:pPr>
      <w:r w:rsidRPr="009C2CDD">
        <w:t>Rate-case expenses in the amount of $56,641 ($46,36</w:t>
      </w:r>
      <w:r w:rsidR="004D5AE1" w:rsidRPr="009C2CDD">
        <w:t>4</w:t>
      </w:r>
      <w:r w:rsidRPr="009C2CDD">
        <w:t xml:space="preserve"> for EPE and $10,277 for the City of El Paso) for participation in Docket No. 49496,</w:t>
      </w:r>
      <w:r w:rsidRPr="009C2CDD">
        <w:rPr>
          <w:rStyle w:val="FootnoteReference"/>
        </w:rPr>
        <w:footnoteReference w:id="1"/>
      </w:r>
      <w:r w:rsidRPr="009C2CDD">
        <w:rPr>
          <w:position w:val="9"/>
          <w:sz w:val="16"/>
        </w:rPr>
        <w:t xml:space="preserve"> </w:t>
      </w:r>
      <w:r w:rsidRPr="009C2CDD">
        <w:t>EPE’s 2019 EECRF proceeding; and</w:t>
      </w:r>
    </w:p>
    <w:p w14:paraId="112B40E6" w14:textId="77777777" w:rsidR="002F4BB8" w:rsidRPr="009C2CDD" w:rsidRDefault="00331BB3" w:rsidP="000D36F0">
      <w:pPr>
        <w:pStyle w:val="aList"/>
      </w:pPr>
      <w:r w:rsidRPr="009C2CDD">
        <w:t>A performance bonus of $1,175,558.</w:t>
      </w:r>
    </w:p>
    <w:p w14:paraId="43658003" w14:textId="77777777" w:rsidR="002F4BB8" w:rsidRPr="009C2CDD" w:rsidRDefault="00331BB3" w:rsidP="00F23389">
      <w:pPr>
        <w:pStyle w:val="FoFNumber"/>
      </w:pPr>
      <w:r w:rsidRPr="009C2CDD">
        <w:t>In the application, EPE sought a good cause exception to the cost cap for its commercial customers for 2021 and a good cause exception to combine the cotton gin rate class with the cogeneration rate class in 2021.</w:t>
      </w:r>
    </w:p>
    <w:p w14:paraId="27ECBF5E" w14:textId="77777777" w:rsidR="002F4BB8" w:rsidRPr="009C2CDD" w:rsidRDefault="00331BB3" w:rsidP="00F23389">
      <w:pPr>
        <w:pStyle w:val="FoFNumber"/>
      </w:pPr>
      <w:r w:rsidRPr="009C2CDD">
        <w:t xml:space="preserve">In State Office of Administrative Hearings (SOAH) Order No. 2 filed June 12, 2020, the SOAH </w:t>
      </w:r>
      <w:r w:rsidR="009549D5" w:rsidRPr="009C2CDD">
        <w:t>A</w:t>
      </w:r>
      <w:r w:rsidRPr="009C2CDD">
        <w:t xml:space="preserve">dministrative </w:t>
      </w:r>
      <w:r w:rsidR="009549D5" w:rsidRPr="009C2CDD">
        <w:t>L</w:t>
      </w:r>
      <w:r w:rsidRPr="009C2CDD">
        <w:t xml:space="preserve">aw </w:t>
      </w:r>
      <w:r w:rsidR="009549D5" w:rsidRPr="009C2CDD">
        <w:t>J</w:t>
      </w:r>
      <w:r w:rsidRPr="009C2CDD">
        <w:t>udge (ALJ) found the application sufficient.</w:t>
      </w:r>
    </w:p>
    <w:p w14:paraId="40764F8B" w14:textId="77777777" w:rsidR="002F4BB8" w:rsidRPr="009C2CDD" w:rsidRDefault="00331BB3" w:rsidP="000D36F0">
      <w:pPr>
        <w:pStyle w:val="TopicSubheading"/>
        <w:rPr>
          <w:rFonts w:cs="Times New Roman"/>
          <w:szCs w:val="15"/>
        </w:rPr>
      </w:pPr>
      <w:r w:rsidRPr="009C2CDD">
        <w:t xml:space="preserve">Notice of the Application </w:t>
      </w:r>
      <w:r w:rsidRPr="009C2CDD">
        <w:rPr>
          <w:b w:val="0"/>
          <w:sz w:val="20"/>
          <w:szCs w:val="20"/>
        </w:rPr>
        <w:t>16 TAC §§ 22.55, 25.182(d)(13) and (14)</w:t>
      </w:r>
    </w:p>
    <w:p w14:paraId="15D64B89" w14:textId="77777777" w:rsidR="002F4BB8" w:rsidRPr="009C2CDD" w:rsidRDefault="00331BB3" w:rsidP="00F23389">
      <w:pPr>
        <w:pStyle w:val="FoFNumber"/>
      </w:pPr>
      <w:r w:rsidRPr="009C2CDD">
        <w:t>On May 6, 2020, EPE provided notice via first-class mail or email to all parties to EPE’s most recent base-rate proceeding, Docket No. 46831,</w:t>
      </w:r>
      <w:r w:rsidRPr="009C2CDD">
        <w:rPr>
          <w:rStyle w:val="FootnoteReference"/>
        </w:rPr>
        <w:footnoteReference w:id="2"/>
      </w:r>
      <w:r w:rsidRPr="009C2CDD">
        <w:t xml:space="preserve"> which included all parties that participated in EPE’s last EECRF proceeding, Docket No. 49496, except for Commission Staff.  Commission Staff counsel was mistakenly omitted from the email notice sent on May 6, 2020, however, the application was filed with the Commission on May 1, 2020.  In an affidavit filed by EPE on June 3, 2020, Curtis Hutcheson, EPE’s </w:t>
      </w:r>
      <w:r w:rsidR="00887B8C" w:rsidRPr="009C2CDD">
        <w:t>S</w:t>
      </w:r>
      <w:r w:rsidRPr="009C2CDD">
        <w:t>upervisor</w:t>
      </w:r>
      <w:r w:rsidR="00887B8C" w:rsidRPr="009C2CDD">
        <w:t>-R</w:t>
      </w:r>
      <w:r w:rsidRPr="009C2CDD">
        <w:t xml:space="preserve">egulatory </w:t>
      </w:r>
      <w:r w:rsidR="00887B8C" w:rsidRPr="009C2CDD">
        <w:t>C</w:t>
      </w:r>
      <w:r w:rsidRPr="009C2CDD">
        <w:t xml:space="preserve">ase </w:t>
      </w:r>
      <w:r w:rsidR="00887B8C" w:rsidRPr="009C2CDD">
        <w:t>M</w:t>
      </w:r>
      <w:r w:rsidRPr="009C2CDD">
        <w:t>anagement, attested that notice had been provided as described in this finding of fact.</w:t>
      </w:r>
    </w:p>
    <w:p w14:paraId="591C778C" w14:textId="77777777" w:rsidR="002F4BB8" w:rsidRPr="009C2CDD" w:rsidRDefault="00331BB3" w:rsidP="00F23389">
      <w:pPr>
        <w:pStyle w:val="FoFNumber"/>
        <w:rPr>
          <w:rFonts w:eastAsia="Times New Roman" w:cs="Times New Roman"/>
          <w:szCs w:val="24"/>
        </w:rPr>
      </w:pPr>
      <w:r w:rsidRPr="009C2CDD">
        <w:t>No party objected to the adequacy of notice of the application.</w:t>
      </w:r>
    </w:p>
    <w:p w14:paraId="34231937" w14:textId="77777777" w:rsidR="002F4BB8" w:rsidRPr="009C2CDD" w:rsidRDefault="00331BB3" w:rsidP="00F23389">
      <w:pPr>
        <w:pStyle w:val="FoFNumber"/>
        <w:rPr>
          <w:rFonts w:eastAsia="Times New Roman" w:cs="Times New Roman"/>
          <w:szCs w:val="24"/>
        </w:rPr>
      </w:pPr>
      <w:r w:rsidRPr="009C2CDD">
        <w:t>In SOAH Order No. 2 filed June 12, 2020, the SOAH ALJ found the notice of the application sufficient.</w:t>
      </w:r>
    </w:p>
    <w:p w14:paraId="418B2746" w14:textId="77777777" w:rsidR="002F4BB8" w:rsidRPr="009C2CDD" w:rsidRDefault="00331BB3" w:rsidP="000D36F0">
      <w:pPr>
        <w:pStyle w:val="TopicSubheading"/>
        <w:rPr>
          <w:rFonts w:cs="Times New Roman"/>
          <w:sz w:val="15"/>
          <w:szCs w:val="15"/>
        </w:rPr>
      </w:pPr>
      <w:r w:rsidRPr="009C2CDD">
        <w:lastRenderedPageBreak/>
        <w:t xml:space="preserve">Intervenors and Intervenor Alignment </w:t>
      </w:r>
      <w:r w:rsidRPr="009C2CDD">
        <w:rPr>
          <w:b w:val="0"/>
          <w:sz w:val="20"/>
          <w:szCs w:val="20"/>
        </w:rPr>
        <w:t>16 TAC § 22.103 through 22.105</w:t>
      </w:r>
    </w:p>
    <w:p w14:paraId="126E8F89" w14:textId="77777777" w:rsidR="002F4BB8" w:rsidRPr="009C2CDD" w:rsidRDefault="00331BB3" w:rsidP="00F23389">
      <w:pPr>
        <w:pStyle w:val="FoFNumber"/>
      </w:pPr>
      <w:r w:rsidRPr="009C2CDD">
        <w:t>Commission Staff participated in this docket.</w:t>
      </w:r>
    </w:p>
    <w:p w14:paraId="36852BD9" w14:textId="77777777" w:rsidR="002F4BB8" w:rsidRPr="009C2CDD" w:rsidRDefault="00331BB3" w:rsidP="00F23389">
      <w:pPr>
        <w:pStyle w:val="FoFNumber"/>
        <w:rPr>
          <w:rFonts w:eastAsia="Times New Roman" w:cs="Times New Roman"/>
          <w:szCs w:val="24"/>
        </w:rPr>
      </w:pPr>
      <w:r w:rsidRPr="009C2CDD">
        <w:t>In SOAH Order No. 2</w:t>
      </w:r>
      <w:r w:rsidR="00887B8C" w:rsidRPr="009C2CDD">
        <w:t>,</w:t>
      </w:r>
      <w:r w:rsidRPr="009C2CDD">
        <w:t xml:space="preserve"> filed June 12, 2020, the SOAH ALJ granted the motion to intervene of the City of El Paso and Texas Industrial Energy Consumers (TIEC).</w:t>
      </w:r>
    </w:p>
    <w:p w14:paraId="2DEFFCB3" w14:textId="77777777" w:rsidR="002F4BB8" w:rsidRPr="009C2CDD" w:rsidRDefault="00331BB3" w:rsidP="000D36F0">
      <w:pPr>
        <w:pStyle w:val="TopicSubheading"/>
        <w:rPr>
          <w:rFonts w:cs="Times New Roman"/>
          <w:sz w:val="15"/>
          <w:szCs w:val="15"/>
        </w:rPr>
      </w:pPr>
      <w:r w:rsidRPr="009C2CDD">
        <w:t>Statements of Position and Testimony</w:t>
      </w:r>
      <w:r w:rsidRPr="009C2CDD">
        <w:rPr>
          <w:b w:val="0"/>
        </w:rPr>
        <w:t xml:space="preserve"> </w:t>
      </w:r>
      <w:r w:rsidRPr="009C2CDD">
        <w:rPr>
          <w:b w:val="0"/>
          <w:sz w:val="20"/>
          <w:szCs w:val="20"/>
        </w:rPr>
        <w:t>16 TAC §§ 22.124 and 22 225</w:t>
      </w:r>
    </w:p>
    <w:p w14:paraId="6ABE22D6" w14:textId="5B468284" w:rsidR="002F4BB8" w:rsidRPr="009C2CDD" w:rsidRDefault="00331BB3" w:rsidP="00F23389">
      <w:pPr>
        <w:pStyle w:val="FoFNumber"/>
      </w:pPr>
      <w:r w:rsidRPr="009C2CDD">
        <w:t xml:space="preserve">As part of the application filed on May 1, 2020, EPE filed the direct testimonies with schedules and workpapers of Crystal A. Enoch, </w:t>
      </w:r>
      <w:r w:rsidR="00887B8C" w:rsidRPr="009C2CDD">
        <w:t>S</w:t>
      </w:r>
      <w:r w:rsidRPr="009C2CDD">
        <w:t>enior</w:t>
      </w:r>
      <w:r w:rsidR="00887B8C" w:rsidRPr="009C2CDD">
        <w:t>-E</w:t>
      </w:r>
      <w:r w:rsidRPr="009C2CDD">
        <w:t xml:space="preserve">nergy </w:t>
      </w:r>
      <w:r w:rsidR="00887B8C" w:rsidRPr="009C2CDD">
        <w:t>E</w:t>
      </w:r>
      <w:r w:rsidRPr="009C2CDD">
        <w:t xml:space="preserve">fficiency </w:t>
      </w:r>
      <w:r w:rsidR="00887B8C" w:rsidRPr="009C2CDD">
        <w:t>C</w:t>
      </w:r>
      <w:r w:rsidRPr="009C2CDD">
        <w:t>oordinator, and Rene F. Gonzale</w:t>
      </w:r>
      <w:r w:rsidR="00573C25" w:rsidRPr="009C2CDD">
        <w:t>z</w:t>
      </w:r>
      <w:r w:rsidRPr="009C2CDD">
        <w:t xml:space="preserve">, </w:t>
      </w:r>
      <w:r w:rsidR="00887B8C" w:rsidRPr="009C2CDD">
        <w:t>S</w:t>
      </w:r>
      <w:r w:rsidRPr="009C2CDD">
        <w:t>enior</w:t>
      </w:r>
      <w:r w:rsidR="00887B8C" w:rsidRPr="009C2CDD">
        <w:t>-R</w:t>
      </w:r>
      <w:r w:rsidRPr="009C2CDD">
        <w:t xml:space="preserve">ate </w:t>
      </w:r>
      <w:r w:rsidR="00887B8C" w:rsidRPr="009C2CDD">
        <w:t>A</w:t>
      </w:r>
      <w:r w:rsidRPr="009C2CDD">
        <w:t>nalyst</w:t>
      </w:r>
      <w:r w:rsidR="00887B8C" w:rsidRPr="009C2CDD">
        <w:t xml:space="preserve"> for EPE</w:t>
      </w:r>
      <w:r w:rsidRPr="009C2CDD">
        <w:t>.  Also, as part of the application, EPE filed the affidavit of attorney Bret J. Slocum with attachments concerning EPE’s rate-case expenses in Docket No. 49496.</w:t>
      </w:r>
    </w:p>
    <w:p w14:paraId="1B4B5458" w14:textId="77777777" w:rsidR="002F4BB8" w:rsidRPr="009C2CDD" w:rsidRDefault="00331BB3" w:rsidP="00F23389">
      <w:pPr>
        <w:pStyle w:val="FoFNumber"/>
        <w:rPr>
          <w:rFonts w:eastAsia="Times New Roman" w:cs="Times New Roman"/>
          <w:szCs w:val="24"/>
        </w:rPr>
      </w:pPr>
      <w:r w:rsidRPr="009C2CDD">
        <w:t>On July 6, 2020, the City of El Paso filed a statement of position.  On July 6, 2020, the City of El Paso also filed an affidavit of attorney Norman J. Gordon regarding the City of El Paso’s rate-case expenses in Docket No. 49496.</w:t>
      </w:r>
    </w:p>
    <w:p w14:paraId="33EF7D53" w14:textId="77777777" w:rsidR="002F4BB8" w:rsidRPr="009C2CDD" w:rsidRDefault="00331BB3" w:rsidP="00F23389">
      <w:pPr>
        <w:pStyle w:val="FoFNumber"/>
      </w:pPr>
      <w:r w:rsidRPr="009C2CDD">
        <w:t>On July 10, 2020, Commission Staff filed a statement of position and the memoranda of Therese Harris; Ruth Stark; and Adrian Narvaez.</w:t>
      </w:r>
    </w:p>
    <w:p w14:paraId="05A7AC54" w14:textId="77777777" w:rsidR="002F4BB8" w:rsidRPr="009C2CDD" w:rsidRDefault="00331BB3" w:rsidP="002F7C07">
      <w:pPr>
        <w:pStyle w:val="TopicSubheading"/>
      </w:pPr>
      <w:r w:rsidRPr="009C2CDD">
        <w:t xml:space="preserve">Referral to SOAH for Hearing </w:t>
      </w:r>
      <w:r w:rsidRPr="009C2CDD">
        <w:rPr>
          <w:b w:val="0"/>
          <w:sz w:val="20"/>
          <w:szCs w:val="20"/>
        </w:rPr>
        <w:t>16 TAC §§ 22.121 and 25.182(d)(9)</w:t>
      </w:r>
    </w:p>
    <w:p w14:paraId="0C8AB775" w14:textId="77777777" w:rsidR="002F4BB8" w:rsidRPr="009C2CDD" w:rsidRDefault="00331BB3" w:rsidP="00F23389">
      <w:pPr>
        <w:pStyle w:val="FoFNumber"/>
      </w:pPr>
      <w:r w:rsidRPr="009C2CDD">
        <w:t>On May 12, 2020, the Commission referred this proceeding to SOAH.</w:t>
      </w:r>
    </w:p>
    <w:p w14:paraId="40ACCC09" w14:textId="77777777" w:rsidR="002F4BB8" w:rsidRPr="009C2CDD" w:rsidRDefault="00331BB3" w:rsidP="00F23389">
      <w:pPr>
        <w:pStyle w:val="FoFNumber"/>
      </w:pPr>
      <w:r w:rsidRPr="009C2CDD">
        <w:t>On May 29, 2020, the Commission filed a preliminary order, which included a list of issues to be addressed in this proceeding.</w:t>
      </w:r>
    </w:p>
    <w:p w14:paraId="401C4884" w14:textId="77777777" w:rsidR="00D125B7" w:rsidRPr="009C2CDD" w:rsidRDefault="00331BB3" w:rsidP="00F23389">
      <w:pPr>
        <w:pStyle w:val="FoFNumber"/>
      </w:pPr>
      <w:r w:rsidRPr="009C2CDD">
        <w:t>On June 15, 2020, the City of El Paso requested a hearing on the merits.</w:t>
      </w:r>
    </w:p>
    <w:p w14:paraId="1816C23A" w14:textId="77777777" w:rsidR="002F4BB8" w:rsidRPr="009C2CDD" w:rsidRDefault="00331BB3" w:rsidP="00F23389">
      <w:pPr>
        <w:pStyle w:val="FoFNumber"/>
      </w:pPr>
      <w:r w:rsidRPr="009C2CDD">
        <w:t>In SOAH Order No. 2 issued on June 12, 2020, the SOAH ALJ provided notice of a hearing on the merits set to begin at 10:00 a.m., July 24, 2020, via Zoom-based video conference.</w:t>
      </w:r>
    </w:p>
    <w:p w14:paraId="3C25EF7B" w14:textId="083C0233" w:rsidR="002F4BB8" w:rsidRPr="009C2CDD" w:rsidRDefault="00331BB3" w:rsidP="00F23389">
      <w:pPr>
        <w:pStyle w:val="FoFNumber"/>
      </w:pPr>
      <w:r w:rsidRPr="009C2CDD">
        <w:t xml:space="preserve">On </w:t>
      </w:r>
      <w:r w:rsidR="003C731F" w:rsidRPr="009C2CDD">
        <w:t xml:space="preserve">September 3, </w:t>
      </w:r>
      <w:r w:rsidRPr="009C2CDD">
        <w:t>2020, EPE filed an unopposed agreement between EPE, the City of El Paso, and Commission Staff (collectively, the signatories) that resolved all of the issues between them in this proceeding.  TIEC did not sign the agreement but does not oppose it.</w:t>
      </w:r>
    </w:p>
    <w:p w14:paraId="1661154E" w14:textId="012D2111" w:rsidR="002F4BB8" w:rsidRPr="009C2CDD" w:rsidRDefault="00331BB3" w:rsidP="00F23389">
      <w:pPr>
        <w:pStyle w:val="FoFNumber"/>
      </w:pPr>
      <w:r w:rsidRPr="009C2CDD">
        <w:t xml:space="preserve">In SOAH Order No. </w:t>
      </w:r>
      <w:r w:rsidRPr="009C2CDD">
        <w:rPr>
          <w:highlight w:val="yellow"/>
        </w:rPr>
        <w:t>X</w:t>
      </w:r>
      <w:r w:rsidRPr="009C2CDD">
        <w:t xml:space="preserve"> ·filed </w:t>
      </w:r>
      <w:r w:rsidR="003C731F" w:rsidRPr="009C2CDD">
        <w:t xml:space="preserve">September </w:t>
      </w:r>
      <w:r w:rsidRPr="009C2CDD">
        <w:rPr>
          <w:highlight w:val="yellow"/>
        </w:rPr>
        <w:t>XX</w:t>
      </w:r>
      <w:r w:rsidRPr="009C2CDD">
        <w:t>, 2020, the SOAH ALJ dismissed the case from SOAH’s docket and remanded it to the Commission.</w:t>
      </w:r>
    </w:p>
    <w:p w14:paraId="257B2016" w14:textId="77777777" w:rsidR="002F4BB8" w:rsidRPr="009C2CDD" w:rsidRDefault="00331BB3" w:rsidP="002F7C07">
      <w:pPr>
        <w:pStyle w:val="TopicSubheading"/>
        <w:rPr>
          <w:u w:val="none"/>
        </w:rPr>
      </w:pPr>
      <w:r w:rsidRPr="009C2CDD">
        <w:lastRenderedPageBreak/>
        <w:t>Evidentiary Record</w:t>
      </w:r>
    </w:p>
    <w:p w14:paraId="7F8AC228" w14:textId="3B5A480B" w:rsidR="002F4BB8" w:rsidRPr="009C2CDD" w:rsidRDefault="00331BB3" w:rsidP="00F23389">
      <w:pPr>
        <w:pStyle w:val="FoFNumber"/>
      </w:pPr>
      <w:r w:rsidRPr="009C2CDD">
        <w:t xml:space="preserve">In SOAH Order No. </w:t>
      </w:r>
      <w:r w:rsidRPr="009C2CDD">
        <w:rPr>
          <w:highlight w:val="yellow"/>
        </w:rPr>
        <w:t>X</w:t>
      </w:r>
      <w:r w:rsidRPr="009C2CDD">
        <w:t xml:space="preserve"> filed </w:t>
      </w:r>
      <w:r w:rsidR="003C731F" w:rsidRPr="009C2CDD">
        <w:t xml:space="preserve">September </w:t>
      </w:r>
      <w:r w:rsidRPr="009C2CDD">
        <w:rPr>
          <w:highlight w:val="yellow"/>
        </w:rPr>
        <w:t>XX</w:t>
      </w:r>
      <w:r w:rsidRPr="009C2CDD">
        <w:t xml:space="preserve">, 2020, the SOAH ALJ admitted the following into the evidentiary record: (a) </w:t>
      </w:r>
      <w:r w:rsidRPr="009C2CDD">
        <w:rPr>
          <w:bCs/>
          <w:snapToGrid w:val="0"/>
        </w:rPr>
        <w:t>EPE’s Application</w:t>
      </w:r>
      <w:r w:rsidRPr="009C2CDD">
        <w:rPr>
          <w:snapToGrid w:val="0"/>
        </w:rPr>
        <w:t>, including the testimony of Crystal A. Enoch and Rene F. Gonzalez and the affidavit of Bret J. Slocum; (b) EPE’s proof of notice filed on June 3, 2020; (c) the affidavit of Norman J. Gordon, filed on July 6, 2020, (d) Commission Staff’s memoranda of Therese Harris; Ruth Stark; and Adrian Narvaez filed on July</w:t>
      </w:r>
      <w:r w:rsidR="003C731F" w:rsidRPr="009C2CDD">
        <w:rPr>
          <w:snapToGrid w:val="0"/>
        </w:rPr>
        <w:t> </w:t>
      </w:r>
      <w:r w:rsidRPr="009C2CDD">
        <w:rPr>
          <w:snapToGrid w:val="0"/>
        </w:rPr>
        <w:t>10,</w:t>
      </w:r>
      <w:r w:rsidR="003C731F" w:rsidRPr="009C2CDD">
        <w:rPr>
          <w:snapToGrid w:val="0"/>
        </w:rPr>
        <w:t> </w:t>
      </w:r>
      <w:r w:rsidRPr="009C2CDD">
        <w:rPr>
          <w:snapToGrid w:val="0"/>
        </w:rPr>
        <w:t>2020; and (e) the settlement agreement and its attachments.</w:t>
      </w:r>
    </w:p>
    <w:p w14:paraId="09477464" w14:textId="77777777" w:rsidR="002F4BB8" w:rsidRPr="009C2CDD" w:rsidRDefault="00331BB3" w:rsidP="003D44EC">
      <w:pPr>
        <w:pStyle w:val="TopicSubheading"/>
        <w:rPr>
          <w:rFonts w:cs="Times New Roman"/>
          <w:sz w:val="15"/>
          <w:szCs w:val="15"/>
        </w:rPr>
      </w:pPr>
      <w:r w:rsidRPr="009C2CDD">
        <w:t xml:space="preserve">Energy-Efficiency Goals </w:t>
      </w:r>
      <w:r w:rsidRPr="009C2CDD">
        <w:rPr>
          <w:b w:val="0"/>
          <w:sz w:val="20"/>
          <w:szCs w:val="20"/>
        </w:rPr>
        <w:t>16 TAC § 25.181(e)</w:t>
      </w:r>
    </w:p>
    <w:p w14:paraId="1548DD8C" w14:textId="77777777" w:rsidR="002F4BB8" w:rsidRPr="009C2CDD" w:rsidRDefault="00331BB3" w:rsidP="00F23389">
      <w:pPr>
        <w:pStyle w:val="FoFNumber"/>
      </w:pPr>
      <w:r w:rsidRPr="009C2CDD">
        <w:t>Since 2013, EPE’s demand-reduction goal exceeded four-tenths of 1% of its summer weather-adjusted peak demand.</w:t>
      </w:r>
    </w:p>
    <w:p w14:paraId="276806B2" w14:textId="77777777" w:rsidR="002F4BB8" w:rsidRPr="009C2CDD" w:rsidRDefault="00331BB3" w:rsidP="00F23389">
      <w:pPr>
        <w:pStyle w:val="FoFNumber"/>
      </w:pPr>
      <w:r w:rsidRPr="009C2CDD">
        <w:t>Under 16 Texas Administrative Code (TAC) § 25.181(e)(l)(D), a utility’s demand-reduction goal may not be lower than the prior year’s demand-reduction goal.  Thus, EPE’s demand-reduction goal for 2021 is 11.16 MW, which is what it has been since 2011.</w:t>
      </w:r>
    </w:p>
    <w:p w14:paraId="5CD5B567" w14:textId="77777777" w:rsidR="002F4BB8" w:rsidRPr="009C2CDD" w:rsidRDefault="00331BB3" w:rsidP="00F23389">
      <w:pPr>
        <w:pStyle w:val="FoFNumber"/>
        <w:rPr>
          <w:rFonts w:eastAsia="Times New Roman" w:cs="Times New Roman"/>
          <w:szCs w:val="24"/>
        </w:rPr>
      </w:pPr>
      <w:r w:rsidRPr="009C2CDD">
        <w:t>EPE projects that it will achieve 16.691 MW in demand reductions in program year 2021, which exceeds the minimum of 11.16 MW.</w:t>
      </w:r>
    </w:p>
    <w:p w14:paraId="0D9D08FD" w14:textId="77777777" w:rsidR="002F4BB8" w:rsidRPr="009C2CDD" w:rsidRDefault="00331BB3" w:rsidP="00F23389">
      <w:pPr>
        <w:pStyle w:val="FoFNumber"/>
        <w:rPr>
          <w:rFonts w:eastAsia="Times New Roman" w:cs="Times New Roman"/>
          <w:szCs w:val="24"/>
        </w:rPr>
      </w:pPr>
      <w:r w:rsidRPr="009C2CDD">
        <w:t>The estimated savings to be achieved through EPE’s 2021 programs for hard-to-reach customers is 800 kilowatts (kW), which is 7.17% of the proposed demand-reduction goal of 11.16 MW.</w:t>
      </w:r>
    </w:p>
    <w:p w14:paraId="5C6E79D8" w14:textId="77777777" w:rsidR="002F4BB8" w:rsidRPr="009C2CDD" w:rsidRDefault="00331BB3" w:rsidP="00F23389">
      <w:pPr>
        <w:pStyle w:val="FoFNumber"/>
        <w:rPr>
          <w:rFonts w:eastAsia="Times New Roman" w:cs="Times New Roman"/>
          <w:szCs w:val="24"/>
        </w:rPr>
      </w:pPr>
      <w:r w:rsidRPr="009C2CDD">
        <w:t>EPE’s 2021 energy-savings goal using a 20% load-conservation factor is 19,552 megawatt-hours (MWh).</w:t>
      </w:r>
    </w:p>
    <w:p w14:paraId="15454C8E" w14:textId="77777777" w:rsidR="002F4BB8" w:rsidRPr="009C2CDD" w:rsidRDefault="00331BB3" w:rsidP="00F23389">
      <w:pPr>
        <w:pStyle w:val="FoFNumber"/>
      </w:pPr>
      <w:r w:rsidRPr="009C2CDD">
        <w:t>EPE forecasts that in program year 2021 it will achieve energy savings of 23,479 MWh, which exceeds the minimum of 19,552 MWh calculated under 16 TAC § 25.181(e)(4).</w:t>
      </w:r>
    </w:p>
    <w:p w14:paraId="1E96AB72" w14:textId="77777777" w:rsidR="002F4BB8" w:rsidRPr="009C2CDD" w:rsidRDefault="00331BB3" w:rsidP="003D44EC">
      <w:pPr>
        <w:pStyle w:val="TopicSubheading"/>
        <w:rPr>
          <w:rFonts w:cs="Times New Roman"/>
          <w:szCs w:val="15"/>
        </w:rPr>
      </w:pPr>
      <w:r w:rsidRPr="009C2CDD">
        <w:t xml:space="preserve">Agreement </w:t>
      </w:r>
      <w:r w:rsidRPr="009C2CDD">
        <w:rPr>
          <w:b w:val="0"/>
          <w:sz w:val="20"/>
          <w:szCs w:val="20"/>
        </w:rPr>
        <w:t>PURA § 14.054 and 16 TAC § 22.35</w:t>
      </w:r>
    </w:p>
    <w:p w14:paraId="153BEF50" w14:textId="1582BC07" w:rsidR="002F4BB8" w:rsidRPr="009C2CDD" w:rsidRDefault="00331BB3" w:rsidP="00F23389">
      <w:pPr>
        <w:pStyle w:val="FoFNumber"/>
        <w:rPr>
          <w:rFonts w:cs="Times New Roman"/>
          <w:sz w:val="23"/>
          <w:szCs w:val="23"/>
        </w:rPr>
      </w:pPr>
      <w:r w:rsidRPr="009C2CDD">
        <w:t>Under the agreement, the signatories agreed on EPE’s proposed EECRF with a reduction of $75,000 for the residential class</w:t>
      </w:r>
      <w:bookmarkStart w:id="2" w:name="Page_7"/>
      <w:bookmarkEnd w:id="2"/>
      <w:r w:rsidR="003B2445" w:rsidRPr="009C2CDD">
        <w:t>, which will be a permanent reduction to EPE's true-up of its cost for its 2019 residential programs</w:t>
      </w:r>
      <w:r w:rsidRPr="009C2CDD">
        <w:t>.</w:t>
      </w:r>
    </w:p>
    <w:p w14:paraId="37587AB3" w14:textId="77777777" w:rsidR="002F4BB8" w:rsidRPr="009C2CDD" w:rsidRDefault="00331BB3" w:rsidP="00F23389">
      <w:pPr>
        <w:pStyle w:val="FoFNumber"/>
      </w:pPr>
      <w:r w:rsidRPr="009C2CDD">
        <w:t>Under the agreement, EPE’s EECRF would recover $5,902,584 during program year 2021.  That amount included the following:</w:t>
      </w:r>
    </w:p>
    <w:p w14:paraId="5867E610" w14:textId="77777777" w:rsidR="002F4BB8" w:rsidRPr="009C2CDD" w:rsidRDefault="00331BB3">
      <w:pPr>
        <w:pStyle w:val="BodyText"/>
        <w:numPr>
          <w:ilvl w:val="1"/>
          <w:numId w:val="10"/>
        </w:numPr>
        <w:tabs>
          <w:tab w:val="left" w:pos="1543"/>
        </w:tabs>
        <w:spacing w:before="15"/>
        <w:ind w:hanging="701"/>
      </w:pPr>
      <w:r w:rsidRPr="009C2CDD">
        <w:lastRenderedPageBreak/>
        <w:t>EPE’s forecasted energy-efficiency costs of $4,685,552 in program year 2021;</w:t>
      </w:r>
    </w:p>
    <w:p w14:paraId="24F1E721" w14:textId="77777777" w:rsidR="002F4BB8" w:rsidRPr="009C2CDD" w:rsidRDefault="00331BB3">
      <w:pPr>
        <w:pStyle w:val="BodyText"/>
        <w:numPr>
          <w:ilvl w:val="1"/>
          <w:numId w:val="10"/>
        </w:numPr>
        <w:tabs>
          <w:tab w:val="left" w:pos="1543"/>
        </w:tabs>
        <w:spacing w:before="148"/>
        <w:ind w:left="1542" w:hanging="710"/>
      </w:pPr>
      <w:r w:rsidRPr="009C2CDD">
        <w:t>Projected EM&amp;V expenses in the amount of $57,378 for program year 2021;</w:t>
      </w:r>
    </w:p>
    <w:p w14:paraId="6F3CA55E" w14:textId="6D5190D6" w:rsidR="002F4BB8" w:rsidRPr="009C2CDD" w:rsidRDefault="00331BB3" w:rsidP="00E605A5">
      <w:pPr>
        <w:pStyle w:val="BodyText"/>
        <w:numPr>
          <w:ilvl w:val="1"/>
          <w:numId w:val="10"/>
        </w:numPr>
        <w:tabs>
          <w:tab w:val="left" w:pos="1538"/>
        </w:tabs>
        <w:spacing w:before="153" w:line="370" w:lineRule="auto"/>
        <w:ind w:right="1256"/>
      </w:pPr>
      <w:r w:rsidRPr="009C2CDD">
        <w:t>An adjustment of $2,455</w:t>
      </w:r>
      <w:r w:rsidR="00E605A5" w:rsidRPr="009C2CDD">
        <w:t>, including interest,</w:t>
      </w:r>
      <w:r w:rsidRPr="009C2CDD">
        <w:t xml:space="preserve"> for EPE’s net under-recovery, of program year 2019 energy-efficiency costs;</w:t>
      </w:r>
    </w:p>
    <w:p w14:paraId="04A0F2D3" w14:textId="1A3CC57A" w:rsidR="0020617D" w:rsidRPr="009C2CDD" w:rsidRDefault="00331BB3" w:rsidP="0020617D">
      <w:pPr>
        <w:pStyle w:val="BodyText"/>
        <w:numPr>
          <w:ilvl w:val="1"/>
          <w:numId w:val="10"/>
        </w:numPr>
        <w:tabs>
          <w:tab w:val="left" w:pos="1538"/>
        </w:tabs>
        <w:spacing w:before="5"/>
      </w:pPr>
      <w:r w:rsidRPr="009C2CDD">
        <w:t>Rate-case expenses in the amount of $56,641 ($46,36</w:t>
      </w:r>
      <w:r w:rsidR="00BB7198" w:rsidRPr="009C2CDD">
        <w:t>4</w:t>
      </w:r>
      <w:r w:rsidRPr="009C2CDD">
        <w:t xml:space="preserve"> for EPE and $10,2</w:t>
      </w:r>
      <w:r w:rsidR="00070FE8" w:rsidRPr="009C2CDD">
        <w:t>77</w:t>
      </w:r>
      <w:r w:rsidRPr="009C2CDD">
        <w:t xml:space="preserve"> for the City of El Paso) for participation in Docket No. 49496, EPE’s 2019 EECRF proceeding; </w:t>
      </w:r>
    </w:p>
    <w:p w14:paraId="2D903CE1" w14:textId="77777777" w:rsidR="0020617D" w:rsidRPr="009C2CDD" w:rsidRDefault="00331BB3" w:rsidP="0020617D">
      <w:pPr>
        <w:pStyle w:val="BodyText"/>
        <w:numPr>
          <w:ilvl w:val="1"/>
          <w:numId w:val="10"/>
        </w:numPr>
        <w:tabs>
          <w:tab w:val="left" w:pos="1538"/>
        </w:tabs>
        <w:spacing w:before="5"/>
      </w:pPr>
      <w:r w:rsidRPr="009C2CDD">
        <w:t>A performance bonus of $1,175,558; and</w:t>
      </w:r>
    </w:p>
    <w:p w14:paraId="117C4E5F" w14:textId="072060AD" w:rsidR="002F4BB8" w:rsidRPr="009C2CDD" w:rsidRDefault="00331BB3" w:rsidP="0020617D">
      <w:pPr>
        <w:pStyle w:val="BodyText"/>
        <w:numPr>
          <w:ilvl w:val="1"/>
          <w:numId w:val="10"/>
        </w:numPr>
        <w:tabs>
          <w:tab w:val="left" w:pos="1538"/>
        </w:tabs>
        <w:spacing w:before="5"/>
      </w:pPr>
      <w:r w:rsidRPr="009C2CDD">
        <w:t>A reduction of the residential class’s EECRF revenue requirement in the amount of $75,000</w:t>
      </w:r>
      <w:r w:rsidR="008630E3" w:rsidRPr="009C2CDD">
        <w:t>, which will be a permanent reduction to EPE's true-up of its cost for its 2019 residential programs</w:t>
      </w:r>
      <w:r w:rsidRPr="009C2CDD">
        <w:t>.</w:t>
      </w:r>
    </w:p>
    <w:p w14:paraId="68D742B0" w14:textId="77777777" w:rsidR="002F4BB8" w:rsidRPr="009C2CDD" w:rsidRDefault="00331BB3" w:rsidP="00F23389">
      <w:pPr>
        <w:pStyle w:val="FoFNumber"/>
      </w:pPr>
      <w:r w:rsidRPr="009C2CDD">
        <w:t>The agreement provides an effective date of the first billing cycle of EPE’s January 2021 billing month for EPE’s EECRF tariff to remain in effect until December 31, 2021 or until such time as the Commission orders otherwise.</w:t>
      </w:r>
    </w:p>
    <w:p w14:paraId="25265246" w14:textId="77777777" w:rsidR="002F4BB8" w:rsidRPr="009C2CDD" w:rsidRDefault="00331BB3" w:rsidP="00F23389">
      <w:pPr>
        <w:pStyle w:val="FoFNumber"/>
      </w:pPr>
      <w:r w:rsidRPr="009C2CDD">
        <w:t>Under the agreement, EPE’s proposed 2021 rate-class factors are as follows:</w:t>
      </w:r>
    </w:p>
    <w:p w14:paraId="4A2F1654" w14:textId="77777777" w:rsidR="002F4BB8" w:rsidRPr="009C2CDD" w:rsidRDefault="00F90638">
      <w:pPr>
        <w:spacing w:before="5"/>
        <w:rPr>
          <w:rFonts w:eastAsia="Times New Roman" w:cs="Times New Roman"/>
          <w:sz w:val="19"/>
          <w:szCs w:val="19"/>
        </w:rPr>
      </w:pPr>
    </w:p>
    <w:p w14:paraId="0B7878A0" w14:textId="77777777" w:rsidR="002F4BB8" w:rsidRPr="009C2CDD" w:rsidRDefault="00331BB3">
      <w:pPr>
        <w:spacing w:line="20" w:lineRule="atLeast"/>
        <w:ind w:left="779"/>
        <w:rPr>
          <w:rFonts w:eastAsia="Times New Roman" w:cs="Times New Roman"/>
          <w:sz w:val="2"/>
          <w:szCs w:val="2"/>
        </w:rPr>
      </w:pPr>
      <w:r w:rsidRPr="007B4321">
        <w:rPr>
          <w:rFonts w:eastAsia="Times New Roman" w:cs="Times New Roman"/>
          <w:noProof/>
          <w:sz w:val="2"/>
          <w:szCs w:val="2"/>
        </w:rPr>
        <mc:AlternateContent>
          <mc:Choice Requires="wpg">
            <w:drawing>
              <wp:inline distT="0" distB="0" distL="0" distR="0" wp14:anchorId="79693C79" wp14:editId="5541E252">
                <wp:extent cx="5303520" cy="6350"/>
                <wp:effectExtent l="5080" t="10795" r="6350" b="1905"/>
                <wp:docPr id="10" name="Group 16"/>
                <wp:cNvGraphicFramePr/>
                <a:graphic xmlns:a="http://schemas.openxmlformats.org/drawingml/2006/main">
                  <a:graphicData uri="http://schemas.microsoft.com/office/word/2010/wordprocessingGroup">
                    <wpg:wgp>
                      <wpg:cNvGrpSpPr/>
                      <wpg:grpSpPr>
                        <a:xfrm>
                          <a:off x="0" y="0"/>
                          <a:ext cx="5303520" cy="6350"/>
                          <a:chOff x="0" y="0"/>
                          <a:chExt cx="8352" cy="10"/>
                        </a:xfrm>
                      </wpg:grpSpPr>
                      <wpg:grpSp>
                        <wpg:cNvPr id="11" name="Group 17"/>
                        <wpg:cNvGrpSpPr/>
                        <wpg:grpSpPr>
                          <a:xfrm>
                            <a:off x="5" y="5"/>
                            <a:ext cx="8343" cy="2"/>
                            <a:chOff x="5" y="5"/>
                            <a:chExt cx="8343" cy="2"/>
                          </a:xfrm>
                        </wpg:grpSpPr>
                        <wps:wsp>
                          <wps:cNvPr id="12" name="Freeform 18"/>
                          <wps:cNvSpPr/>
                          <wps:spPr bwMode="auto">
                            <a:xfrm>
                              <a:off x="5" y="5"/>
                              <a:ext cx="8343" cy="2"/>
                            </a:xfrm>
                            <a:custGeom>
                              <a:avLst/>
                              <a:gdLst>
                                <a:gd name="T0" fmla="+- 0 5 5"/>
                                <a:gd name="T1" fmla="*/ T0 w 8343"/>
                                <a:gd name="T2" fmla="+- 0 8347 5"/>
                                <a:gd name="T3" fmla="*/ T2 w 8343"/>
                              </a:gdLst>
                              <a:ahLst/>
                              <a:cxnLst/>
                              <a:rect l="0" t="0" r="0" b="0"/>
                              <a:pathLst>
                                <a:path w="8343">
                                  <a:moveTo>
                                    <a:pt x="0" y="0"/>
                                  </a:moveTo>
                                  <a:lnTo>
                                    <a:pt x="834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id="Group 16" o:spid="_x0000_i1025" style="height:0.5pt;mso-position-horizontal-relative:char;mso-position-vertical-relative:line;width:417.6pt" coordsize="8352,10">
                <v:group id="Group 17" o:spid="_x0000_s1026" style="height:2;left:5;position:absolute;top:5;width:8343" coordorigin="5,5" coordsize="8343,2">
                  <v:shape id="Freeform 18" o:spid="_x0000_s1027" style="height:2;left:5;mso-wrap-style:square;position:absolute;top:5;v-text-anchor:top;visibility:visible;width:8343" coordsize="8343,2" path="m,l8342,e" filled="f" strokeweight="0.48pt">
                    <v:path arrowok="t" o:connecttype="custom" o:connectlocs="0,0;8342,0" o:connectangles="0,0"/>
                  </v:shape>
                </v:group>
                <w10:wrap type="none"/>
                <w10:anchorlock/>
              </v:group>
            </w:pict>
          </mc:Fallback>
        </mc:AlternateContent>
      </w:r>
    </w:p>
    <w:tbl>
      <w:tblPr>
        <w:tblW w:w="0" w:type="auto"/>
        <w:tblInd w:w="815" w:type="dxa"/>
        <w:tblLayout w:type="fixed"/>
        <w:tblCellMar>
          <w:left w:w="0" w:type="dxa"/>
          <w:right w:w="0" w:type="dxa"/>
        </w:tblCellMar>
        <w:tblLook w:val="01E0" w:firstRow="1" w:lastRow="1" w:firstColumn="1" w:lastColumn="1" w:noHBand="0" w:noVBand="0"/>
      </w:tblPr>
      <w:tblGrid>
        <w:gridCol w:w="1344"/>
        <w:gridCol w:w="4963"/>
        <w:gridCol w:w="1968"/>
      </w:tblGrid>
      <w:tr w:rsidR="00AC4270" w:rsidRPr="007B4321" w14:paraId="4878C16F" w14:textId="77777777">
        <w:trPr>
          <w:trHeight w:hRule="exact" w:val="576"/>
        </w:trPr>
        <w:tc>
          <w:tcPr>
            <w:tcW w:w="1344" w:type="dxa"/>
            <w:tcBorders>
              <w:top w:val="nil"/>
              <w:left w:val="single" w:sz="4" w:space="0" w:color="000000"/>
              <w:bottom w:val="single" w:sz="4" w:space="0" w:color="000000"/>
              <w:right w:val="single" w:sz="4" w:space="0" w:color="000000"/>
            </w:tcBorders>
          </w:tcPr>
          <w:p w14:paraId="27B83904" w14:textId="77777777" w:rsidR="002F4BB8" w:rsidRPr="007B4321" w:rsidRDefault="00331BB3">
            <w:pPr>
              <w:pStyle w:val="TableParagraph"/>
              <w:spacing w:before="164"/>
              <w:ind w:left="228"/>
              <w:rPr>
                <w:rFonts w:ascii="Times New Roman Bold" w:eastAsia="Times New Roman" w:hAnsi="Times New Roman Bold" w:cs="Times New Roman"/>
                <w:b/>
                <w:sz w:val="23"/>
                <w:szCs w:val="23"/>
              </w:rPr>
            </w:pPr>
            <w:r w:rsidRPr="007B4321">
              <w:rPr>
                <w:rFonts w:ascii="Times New Roman Bold" w:hAnsi="Times New Roman Bold"/>
                <w:b/>
                <w:sz w:val="23"/>
              </w:rPr>
              <w:t>Rate No.</w:t>
            </w:r>
          </w:p>
        </w:tc>
        <w:tc>
          <w:tcPr>
            <w:tcW w:w="4963" w:type="dxa"/>
            <w:tcBorders>
              <w:top w:val="nil"/>
              <w:left w:val="single" w:sz="4" w:space="0" w:color="000000"/>
              <w:bottom w:val="single" w:sz="4" w:space="0" w:color="000000"/>
              <w:right w:val="single" w:sz="4" w:space="0" w:color="000000"/>
            </w:tcBorders>
          </w:tcPr>
          <w:p w14:paraId="61700C58" w14:textId="77777777" w:rsidR="002F4BB8" w:rsidRPr="007B4321" w:rsidRDefault="00331BB3">
            <w:pPr>
              <w:pStyle w:val="TableParagraph"/>
              <w:spacing w:before="164"/>
              <w:ind w:right="26"/>
              <w:jc w:val="center"/>
              <w:rPr>
                <w:rFonts w:ascii="Times New Roman Bold" w:eastAsia="Times New Roman" w:hAnsi="Times New Roman Bold" w:cs="Times New Roman"/>
                <w:b/>
                <w:sz w:val="23"/>
                <w:szCs w:val="23"/>
              </w:rPr>
            </w:pPr>
            <w:r w:rsidRPr="007B4321">
              <w:rPr>
                <w:rFonts w:ascii="Times New Roman Bold" w:hAnsi="Times New Roman Bold"/>
                <w:b/>
                <w:sz w:val="23"/>
              </w:rPr>
              <w:t>Description</w:t>
            </w:r>
          </w:p>
        </w:tc>
        <w:tc>
          <w:tcPr>
            <w:tcW w:w="1968" w:type="dxa"/>
            <w:tcBorders>
              <w:top w:val="nil"/>
              <w:left w:val="single" w:sz="4" w:space="0" w:color="000000"/>
              <w:bottom w:val="single" w:sz="4" w:space="0" w:color="000000"/>
              <w:right w:val="single" w:sz="4" w:space="0" w:color="000000"/>
            </w:tcBorders>
          </w:tcPr>
          <w:p w14:paraId="22966729" w14:textId="77777777" w:rsidR="002F4BB8" w:rsidRPr="007B4321" w:rsidRDefault="00331BB3">
            <w:pPr>
              <w:pStyle w:val="TableParagraph"/>
              <w:spacing w:before="30"/>
              <w:ind w:left="578"/>
              <w:rPr>
                <w:rFonts w:ascii="Times New Roman Bold" w:eastAsia="Times New Roman" w:hAnsi="Times New Roman Bold" w:cs="Times New Roman"/>
                <w:b/>
                <w:sz w:val="23"/>
                <w:szCs w:val="23"/>
              </w:rPr>
            </w:pPr>
            <w:r w:rsidRPr="007B4321">
              <w:rPr>
                <w:rFonts w:ascii="Times New Roman Bold" w:hAnsi="Times New Roman Bold"/>
                <w:b/>
                <w:sz w:val="23"/>
              </w:rPr>
              <w:t>EECRF</w:t>
            </w:r>
          </w:p>
          <w:p w14:paraId="7F00458A" w14:textId="77777777" w:rsidR="002F4BB8" w:rsidRPr="007B4321" w:rsidRDefault="00331BB3">
            <w:pPr>
              <w:pStyle w:val="TableParagraph"/>
              <w:spacing w:before="18"/>
              <w:ind w:left="559"/>
              <w:rPr>
                <w:rFonts w:ascii="Times New Roman Bold" w:eastAsia="Times New Roman" w:hAnsi="Times New Roman Bold" w:cs="Times New Roman"/>
                <w:b/>
              </w:rPr>
            </w:pPr>
            <w:r w:rsidRPr="007B4321">
              <w:rPr>
                <w:rFonts w:ascii="Times New Roman Bold" w:hAnsi="Times New Roman Bold"/>
                <w:b/>
              </w:rPr>
              <w:t>($/kWh)</w:t>
            </w:r>
          </w:p>
        </w:tc>
      </w:tr>
      <w:tr w:rsidR="00AC4270" w:rsidRPr="007B4321" w14:paraId="4287FC72" w14:textId="77777777" w:rsidTr="003D44EC">
        <w:trPr>
          <w:trHeight w:hRule="exact" w:val="283"/>
        </w:trPr>
        <w:tc>
          <w:tcPr>
            <w:tcW w:w="1344" w:type="dxa"/>
            <w:tcBorders>
              <w:top w:val="single" w:sz="4" w:space="0" w:color="000000"/>
              <w:left w:val="single" w:sz="4" w:space="0" w:color="000000"/>
              <w:bottom w:val="single" w:sz="4" w:space="0" w:color="000000"/>
              <w:right w:val="single" w:sz="4" w:space="0" w:color="000000"/>
            </w:tcBorders>
            <w:vAlign w:val="center"/>
          </w:tcPr>
          <w:p w14:paraId="5BA1945E" w14:textId="77777777" w:rsidR="0020617D" w:rsidRPr="007B4321" w:rsidRDefault="00331BB3" w:rsidP="0020617D">
            <w:pPr>
              <w:pStyle w:val="TableParagraph"/>
              <w:spacing w:before="6"/>
              <w:ind w:right="3"/>
              <w:jc w:val="center"/>
              <w:rPr>
                <w:rFonts w:eastAsia="Times New Roman" w:cs="Times New Roman"/>
                <w:sz w:val="23"/>
                <w:szCs w:val="23"/>
              </w:rPr>
            </w:pPr>
            <w:r w:rsidRPr="007B4321">
              <w:rPr>
                <w:sz w:val="23"/>
              </w:rPr>
              <w:t>01</w:t>
            </w:r>
          </w:p>
        </w:tc>
        <w:tc>
          <w:tcPr>
            <w:tcW w:w="4963" w:type="dxa"/>
            <w:tcBorders>
              <w:top w:val="single" w:sz="4" w:space="0" w:color="000000"/>
              <w:left w:val="single" w:sz="4" w:space="0" w:color="000000"/>
              <w:bottom w:val="single" w:sz="4" w:space="0" w:color="000000"/>
              <w:right w:val="single" w:sz="4" w:space="0" w:color="000000"/>
            </w:tcBorders>
            <w:vAlign w:val="center"/>
          </w:tcPr>
          <w:p w14:paraId="60C5BA34" w14:textId="77777777" w:rsidR="0020617D" w:rsidRPr="007B4321" w:rsidRDefault="00331BB3" w:rsidP="0020617D">
            <w:pPr>
              <w:pStyle w:val="TableParagraph"/>
              <w:spacing w:before="6"/>
              <w:ind w:left="103"/>
              <w:rPr>
                <w:rFonts w:eastAsia="Times New Roman" w:cs="Times New Roman"/>
                <w:sz w:val="23"/>
                <w:szCs w:val="23"/>
              </w:rPr>
            </w:pPr>
            <w:r w:rsidRPr="007B4321">
              <w:rPr>
                <w:sz w:val="23"/>
              </w:rPr>
              <w:t>Residential</w:t>
            </w:r>
          </w:p>
        </w:tc>
        <w:tc>
          <w:tcPr>
            <w:tcW w:w="1968" w:type="dxa"/>
            <w:tcBorders>
              <w:top w:val="single" w:sz="4" w:space="0" w:color="000000"/>
              <w:left w:val="single" w:sz="4" w:space="0" w:color="000000"/>
              <w:bottom w:val="single" w:sz="4" w:space="0" w:color="000000"/>
              <w:right w:val="single" w:sz="4" w:space="0" w:color="000000"/>
            </w:tcBorders>
            <w:vAlign w:val="center"/>
          </w:tcPr>
          <w:p w14:paraId="1C8557DA" w14:textId="77777777" w:rsidR="0020617D" w:rsidRPr="007B4321" w:rsidRDefault="00331BB3" w:rsidP="003D44EC">
            <w:pPr>
              <w:keepNext/>
              <w:jc w:val="center"/>
              <w:rPr>
                <w:rFonts w:cs="Times New Roman"/>
                <w:color w:val="000000"/>
                <w:szCs w:val="24"/>
              </w:rPr>
            </w:pPr>
            <w:r w:rsidRPr="007B4321">
              <w:rPr>
                <w:rFonts w:cs="Times New Roman"/>
                <w:szCs w:val="24"/>
              </w:rPr>
              <w:t>0.000979</w:t>
            </w:r>
          </w:p>
        </w:tc>
      </w:tr>
      <w:tr w:rsidR="00AC4270" w:rsidRPr="007B4321" w14:paraId="47903884" w14:textId="77777777" w:rsidTr="003D44EC">
        <w:trPr>
          <w:trHeight w:hRule="exact" w:val="288"/>
        </w:trPr>
        <w:tc>
          <w:tcPr>
            <w:tcW w:w="1344" w:type="dxa"/>
            <w:tcBorders>
              <w:top w:val="single" w:sz="4" w:space="0" w:color="000000"/>
              <w:left w:val="single" w:sz="4" w:space="0" w:color="000000"/>
              <w:bottom w:val="single" w:sz="6" w:space="0" w:color="000000"/>
              <w:right w:val="single" w:sz="4" w:space="0" w:color="000000"/>
            </w:tcBorders>
            <w:vAlign w:val="center"/>
          </w:tcPr>
          <w:p w14:paraId="75EC685E" w14:textId="77777777" w:rsidR="0020617D" w:rsidRPr="007B4321" w:rsidRDefault="00331BB3" w:rsidP="0020617D">
            <w:pPr>
              <w:pStyle w:val="TableParagraph"/>
              <w:spacing w:before="6"/>
              <w:ind w:right="3"/>
              <w:jc w:val="center"/>
              <w:rPr>
                <w:rFonts w:eastAsia="Times New Roman" w:cs="Times New Roman"/>
                <w:sz w:val="23"/>
                <w:szCs w:val="23"/>
              </w:rPr>
            </w:pPr>
            <w:r w:rsidRPr="007B4321">
              <w:rPr>
                <w:sz w:val="23"/>
              </w:rPr>
              <w:t>02</w:t>
            </w:r>
          </w:p>
        </w:tc>
        <w:tc>
          <w:tcPr>
            <w:tcW w:w="4963" w:type="dxa"/>
            <w:tcBorders>
              <w:top w:val="single" w:sz="4" w:space="0" w:color="000000"/>
              <w:left w:val="single" w:sz="4" w:space="0" w:color="000000"/>
              <w:bottom w:val="single" w:sz="6" w:space="0" w:color="000000"/>
              <w:right w:val="single" w:sz="4" w:space="0" w:color="000000"/>
            </w:tcBorders>
            <w:vAlign w:val="center"/>
          </w:tcPr>
          <w:p w14:paraId="096CDEE1" w14:textId="77777777" w:rsidR="0020617D" w:rsidRPr="007B4321" w:rsidRDefault="00331BB3" w:rsidP="0020617D">
            <w:pPr>
              <w:pStyle w:val="TableParagraph"/>
              <w:spacing w:before="11"/>
              <w:ind w:left="108"/>
              <w:rPr>
                <w:rFonts w:eastAsia="Times New Roman" w:cs="Times New Roman"/>
                <w:sz w:val="23"/>
                <w:szCs w:val="23"/>
              </w:rPr>
            </w:pPr>
            <w:r w:rsidRPr="007B4321">
              <w:rPr>
                <w:sz w:val="23"/>
              </w:rPr>
              <w:t>Small Commercial</w:t>
            </w:r>
          </w:p>
        </w:tc>
        <w:tc>
          <w:tcPr>
            <w:tcW w:w="1968" w:type="dxa"/>
            <w:tcBorders>
              <w:top w:val="single" w:sz="4" w:space="0" w:color="000000"/>
              <w:left w:val="single" w:sz="4" w:space="0" w:color="000000"/>
              <w:bottom w:val="single" w:sz="6" w:space="0" w:color="000000"/>
              <w:right w:val="single" w:sz="4" w:space="0" w:color="000000"/>
            </w:tcBorders>
            <w:vAlign w:val="center"/>
          </w:tcPr>
          <w:p w14:paraId="30AF139D" w14:textId="77777777" w:rsidR="0020617D" w:rsidRPr="007B4321" w:rsidRDefault="00331BB3" w:rsidP="003D44EC">
            <w:pPr>
              <w:keepNext/>
              <w:jc w:val="center"/>
              <w:rPr>
                <w:rFonts w:cs="Times New Roman"/>
                <w:color w:val="000000"/>
                <w:szCs w:val="24"/>
              </w:rPr>
            </w:pPr>
            <w:r w:rsidRPr="007B4321">
              <w:rPr>
                <w:rFonts w:cs="Times New Roman"/>
                <w:szCs w:val="24"/>
              </w:rPr>
              <w:t>0.000933</w:t>
            </w:r>
          </w:p>
        </w:tc>
      </w:tr>
      <w:tr w:rsidR="00AC4270" w:rsidRPr="007B4321" w14:paraId="373DBCEF" w14:textId="77777777" w:rsidTr="003D44EC">
        <w:trPr>
          <w:trHeight w:hRule="exact" w:val="283"/>
        </w:trPr>
        <w:tc>
          <w:tcPr>
            <w:tcW w:w="1344" w:type="dxa"/>
            <w:tcBorders>
              <w:top w:val="single" w:sz="6" w:space="0" w:color="000000"/>
              <w:left w:val="single" w:sz="4" w:space="0" w:color="000000"/>
              <w:bottom w:val="single" w:sz="6" w:space="0" w:color="000000"/>
              <w:right w:val="single" w:sz="4" w:space="0" w:color="000000"/>
            </w:tcBorders>
            <w:vAlign w:val="center"/>
          </w:tcPr>
          <w:p w14:paraId="02D4E890" w14:textId="77777777" w:rsidR="0020617D" w:rsidRPr="007B4321" w:rsidRDefault="00331BB3" w:rsidP="0020617D">
            <w:pPr>
              <w:pStyle w:val="TableParagraph"/>
              <w:spacing w:before="3"/>
              <w:ind w:left="4"/>
              <w:jc w:val="center"/>
              <w:rPr>
                <w:rFonts w:eastAsia="Times New Roman" w:cs="Times New Roman"/>
                <w:sz w:val="23"/>
                <w:szCs w:val="23"/>
              </w:rPr>
            </w:pPr>
            <w:r w:rsidRPr="007B4321">
              <w:rPr>
                <w:sz w:val="23"/>
              </w:rPr>
              <w:t>07</w:t>
            </w:r>
          </w:p>
        </w:tc>
        <w:tc>
          <w:tcPr>
            <w:tcW w:w="4963" w:type="dxa"/>
            <w:tcBorders>
              <w:top w:val="single" w:sz="6" w:space="0" w:color="000000"/>
              <w:left w:val="single" w:sz="4" w:space="0" w:color="000000"/>
              <w:bottom w:val="single" w:sz="6" w:space="0" w:color="000000"/>
              <w:right w:val="single" w:sz="4" w:space="0" w:color="000000"/>
            </w:tcBorders>
            <w:vAlign w:val="center"/>
          </w:tcPr>
          <w:p w14:paraId="3CEA902A" w14:textId="77777777" w:rsidR="0020617D" w:rsidRPr="007B4321" w:rsidRDefault="00331BB3" w:rsidP="0020617D">
            <w:pPr>
              <w:pStyle w:val="TableParagraph"/>
              <w:spacing w:before="3"/>
              <w:ind w:left="108"/>
              <w:rPr>
                <w:rFonts w:eastAsia="Times New Roman" w:cs="Times New Roman"/>
                <w:sz w:val="23"/>
                <w:szCs w:val="23"/>
              </w:rPr>
            </w:pPr>
            <w:r w:rsidRPr="007B4321">
              <w:rPr>
                <w:sz w:val="23"/>
              </w:rPr>
              <w:t>Outdoor Recreational Lighting</w:t>
            </w:r>
          </w:p>
        </w:tc>
        <w:tc>
          <w:tcPr>
            <w:tcW w:w="1968" w:type="dxa"/>
            <w:tcBorders>
              <w:top w:val="single" w:sz="6" w:space="0" w:color="000000"/>
              <w:left w:val="single" w:sz="4" w:space="0" w:color="000000"/>
              <w:bottom w:val="single" w:sz="4" w:space="0" w:color="000000"/>
              <w:right w:val="single" w:sz="4" w:space="0" w:color="000000"/>
            </w:tcBorders>
            <w:vAlign w:val="center"/>
          </w:tcPr>
          <w:p w14:paraId="0DA9696A" w14:textId="77777777" w:rsidR="0020617D" w:rsidRPr="007B4321" w:rsidRDefault="00331BB3" w:rsidP="003D44EC">
            <w:pPr>
              <w:keepNext/>
              <w:jc w:val="center"/>
              <w:rPr>
                <w:rFonts w:cs="Times New Roman"/>
                <w:color w:val="000000"/>
                <w:szCs w:val="24"/>
              </w:rPr>
            </w:pPr>
            <w:r w:rsidRPr="007B4321">
              <w:rPr>
                <w:rFonts w:cs="Times New Roman"/>
                <w:szCs w:val="24"/>
              </w:rPr>
              <w:t>- 0.000002</w:t>
            </w:r>
          </w:p>
        </w:tc>
      </w:tr>
      <w:tr w:rsidR="00AC4270" w:rsidRPr="007B4321" w14:paraId="39CB3A07" w14:textId="77777777" w:rsidTr="003D44EC">
        <w:trPr>
          <w:trHeight w:hRule="exact" w:val="288"/>
        </w:trPr>
        <w:tc>
          <w:tcPr>
            <w:tcW w:w="1344" w:type="dxa"/>
            <w:tcBorders>
              <w:top w:val="single" w:sz="6" w:space="0" w:color="000000"/>
              <w:left w:val="single" w:sz="4" w:space="0" w:color="000000"/>
              <w:bottom w:val="single" w:sz="4" w:space="0" w:color="000000"/>
              <w:right w:val="single" w:sz="4" w:space="0" w:color="000000"/>
            </w:tcBorders>
            <w:vAlign w:val="center"/>
          </w:tcPr>
          <w:p w14:paraId="5685E3DB" w14:textId="77777777" w:rsidR="0020617D" w:rsidRPr="007B4321" w:rsidRDefault="00331BB3" w:rsidP="0020617D">
            <w:pPr>
              <w:pStyle w:val="TableParagraph"/>
              <w:spacing w:before="8"/>
              <w:ind w:left="2"/>
              <w:jc w:val="center"/>
              <w:rPr>
                <w:rFonts w:eastAsia="Times New Roman" w:cs="Times New Roman"/>
                <w:sz w:val="23"/>
                <w:szCs w:val="23"/>
              </w:rPr>
            </w:pPr>
            <w:r w:rsidRPr="007B4321">
              <w:rPr>
                <w:sz w:val="23"/>
              </w:rPr>
              <w:t>08</w:t>
            </w:r>
          </w:p>
        </w:tc>
        <w:tc>
          <w:tcPr>
            <w:tcW w:w="4963" w:type="dxa"/>
            <w:tcBorders>
              <w:top w:val="single" w:sz="6" w:space="0" w:color="000000"/>
              <w:left w:val="single" w:sz="4" w:space="0" w:color="000000"/>
              <w:bottom w:val="single" w:sz="4" w:space="0" w:color="000000"/>
              <w:right w:val="single" w:sz="4" w:space="0" w:color="000000"/>
            </w:tcBorders>
            <w:vAlign w:val="center"/>
          </w:tcPr>
          <w:p w14:paraId="698329E3" w14:textId="77777777" w:rsidR="0020617D" w:rsidRPr="007B4321" w:rsidRDefault="00331BB3" w:rsidP="0020617D">
            <w:pPr>
              <w:pStyle w:val="TableParagraph"/>
              <w:spacing w:before="3"/>
              <w:ind w:left="108"/>
              <w:rPr>
                <w:rFonts w:eastAsia="Times New Roman" w:cs="Times New Roman"/>
                <w:sz w:val="23"/>
                <w:szCs w:val="23"/>
              </w:rPr>
            </w:pPr>
            <w:r w:rsidRPr="007B4321">
              <w:rPr>
                <w:sz w:val="23"/>
              </w:rPr>
              <w:t>Governmental Street Lighting</w:t>
            </w:r>
          </w:p>
        </w:tc>
        <w:tc>
          <w:tcPr>
            <w:tcW w:w="1968" w:type="dxa"/>
            <w:tcBorders>
              <w:top w:val="single" w:sz="4" w:space="0" w:color="000000"/>
              <w:left w:val="single" w:sz="4" w:space="0" w:color="000000"/>
              <w:bottom w:val="single" w:sz="4" w:space="0" w:color="000000"/>
              <w:right w:val="single" w:sz="4" w:space="0" w:color="000000"/>
            </w:tcBorders>
            <w:vAlign w:val="center"/>
          </w:tcPr>
          <w:p w14:paraId="67EAE7CB" w14:textId="77777777" w:rsidR="0020617D" w:rsidRPr="007B4321" w:rsidRDefault="00331BB3" w:rsidP="003D44EC">
            <w:pPr>
              <w:keepNext/>
              <w:jc w:val="center"/>
              <w:rPr>
                <w:rFonts w:cs="Times New Roman"/>
                <w:color w:val="000000"/>
                <w:szCs w:val="24"/>
              </w:rPr>
            </w:pPr>
            <w:r w:rsidRPr="007B4321">
              <w:rPr>
                <w:rFonts w:cs="Times New Roman"/>
                <w:szCs w:val="24"/>
              </w:rPr>
              <w:t>0.000302</w:t>
            </w:r>
          </w:p>
        </w:tc>
      </w:tr>
      <w:tr w:rsidR="00AC4270" w:rsidRPr="007B4321" w14:paraId="40AD53A7" w14:textId="77777777" w:rsidTr="003D44EC">
        <w:trPr>
          <w:trHeight w:hRule="exact" w:val="281"/>
        </w:trPr>
        <w:tc>
          <w:tcPr>
            <w:tcW w:w="1344" w:type="dxa"/>
            <w:tcBorders>
              <w:top w:val="single" w:sz="4" w:space="0" w:color="000000"/>
              <w:left w:val="single" w:sz="4" w:space="0" w:color="000000"/>
              <w:bottom w:val="single" w:sz="4" w:space="0" w:color="000000"/>
              <w:right w:val="single" w:sz="4" w:space="0" w:color="000000"/>
            </w:tcBorders>
            <w:vAlign w:val="center"/>
          </w:tcPr>
          <w:p w14:paraId="447DEBDE" w14:textId="77777777" w:rsidR="0020617D" w:rsidRPr="007B4321" w:rsidRDefault="00331BB3" w:rsidP="0020617D">
            <w:pPr>
              <w:pStyle w:val="TableParagraph"/>
              <w:spacing w:before="6"/>
              <w:jc w:val="center"/>
              <w:rPr>
                <w:rFonts w:eastAsia="Times New Roman" w:cs="Times New Roman"/>
                <w:sz w:val="23"/>
                <w:szCs w:val="23"/>
              </w:rPr>
            </w:pPr>
            <w:r w:rsidRPr="007B4321">
              <w:rPr>
                <w:sz w:val="23"/>
              </w:rPr>
              <w:t>09</w:t>
            </w:r>
          </w:p>
        </w:tc>
        <w:tc>
          <w:tcPr>
            <w:tcW w:w="4963" w:type="dxa"/>
            <w:tcBorders>
              <w:top w:val="single" w:sz="4" w:space="0" w:color="000000"/>
              <w:left w:val="single" w:sz="4" w:space="0" w:color="000000"/>
              <w:bottom w:val="single" w:sz="4" w:space="0" w:color="000000"/>
              <w:right w:val="single" w:sz="4" w:space="0" w:color="000000"/>
            </w:tcBorders>
            <w:vAlign w:val="center"/>
          </w:tcPr>
          <w:p w14:paraId="2DCE8EDF" w14:textId="77777777" w:rsidR="0020617D" w:rsidRPr="007B4321" w:rsidRDefault="00331BB3" w:rsidP="0020617D">
            <w:pPr>
              <w:pStyle w:val="TableParagraph"/>
              <w:spacing w:before="1"/>
              <w:ind w:left="103"/>
              <w:rPr>
                <w:rFonts w:eastAsia="Times New Roman" w:cs="Times New Roman"/>
                <w:sz w:val="23"/>
                <w:szCs w:val="23"/>
              </w:rPr>
            </w:pPr>
            <w:r w:rsidRPr="007B4321">
              <w:rPr>
                <w:sz w:val="23"/>
              </w:rPr>
              <w:t>Governmental Traffic Signal</w:t>
            </w:r>
          </w:p>
        </w:tc>
        <w:tc>
          <w:tcPr>
            <w:tcW w:w="1968" w:type="dxa"/>
            <w:tcBorders>
              <w:top w:val="single" w:sz="4" w:space="0" w:color="000000"/>
              <w:left w:val="single" w:sz="4" w:space="0" w:color="000000"/>
              <w:bottom w:val="single" w:sz="4" w:space="0" w:color="000000"/>
              <w:right w:val="single" w:sz="4" w:space="0" w:color="000000"/>
            </w:tcBorders>
            <w:vAlign w:val="center"/>
          </w:tcPr>
          <w:p w14:paraId="684BD814" w14:textId="77777777" w:rsidR="0020617D" w:rsidRPr="007B4321" w:rsidRDefault="00331BB3" w:rsidP="003D44EC">
            <w:pPr>
              <w:keepNext/>
              <w:jc w:val="center"/>
              <w:rPr>
                <w:rFonts w:cs="Times New Roman"/>
                <w:color w:val="000000"/>
                <w:szCs w:val="24"/>
              </w:rPr>
            </w:pPr>
            <w:r w:rsidRPr="007B4321">
              <w:rPr>
                <w:rFonts w:cs="Times New Roman"/>
                <w:szCs w:val="24"/>
              </w:rPr>
              <w:t>0.000422</w:t>
            </w:r>
          </w:p>
        </w:tc>
      </w:tr>
      <w:tr w:rsidR="00AC4270" w:rsidRPr="007B4321" w14:paraId="43B1FD49" w14:textId="77777777" w:rsidTr="003D44EC">
        <w:trPr>
          <w:trHeight w:hRule="exact" w:val="290"/>
        </w:trPr>
        <w:tc>
          <w:tcPr>
            <w:tcW w:w="1344" w:type="dxa"/>
            <w:tcBorders>
              <w:top w:val="single" w:sz="4" w:space="0" w:color="000000"/>
              <w:left w:val="single" w:sz="4" w:space="0" w:color="000000"/>
              <w:bottom w:val="single" w:sz="6" w:space="0" w:color="000000"/>
              <w:right w:val="single" w:sz="4" w:space="0" w:color="000000"/>
            </w:tcBorders>
            <w:vAlign w:val="center"/>
          </w:tcPr>
          <w:p w14:paraId="546F0615" w14:textId="77777777" w:rsidR="0020617D" w:rsidRPr="007B4321" w:rsidRDefault="00331BB3" w:rsidP="0020617D">
            <w:pPr>
              <w:pStyle w:val="TableParagraph"/>
              <w:spacing w:before="8"/>
              <w:ind w:left="280"/>
              <w:rPr>
                <w:rFonts w:eastAsia="Times New Roman" w:cs="Times New Roman"/>
                <w:sz w:val="23"/>
                <w:szCs w:val="23"/>
              </w:rPr>
            </w:pPr>
            <w:r w:rsidRPr="007B4321">
              <w:rPr>
                <w:sz w:val="23"/>
              </w:rPr>
              <w:t>11-TOU</w:t>
            </w:r>
          </w:p>
        </w:tc>
        <w:tc>
          <w:tcPr>
            <w:tcW w:w="4963" w:type="dxa"/>
            <w:tcBorders>
              <w:top w:val="single" w:sz="4" w:space="0" w:color="000000"/>
              <w:left w:val="single" w:sz="4" w:space="0" w:color="000000"/>
              <w:bottom w:val="single" w:sz="6" w:space="0" w:color="000000"/>
              <w:right w:val="single" w:sz="4" w:space="0" w:color="000000"/>
            </w:tcBorders>
            <w:vAlign w:val="center"/>
          </w:tcPr>
          <w:p w14:paraId="42493A5B" w14:textId="78E94028" w:rsidR="0020617D" w:rsidRPr="007B4321" w:rsidRDefault="00331BB3" w:rsidP="0020617D">
            <w:pPr>
              <w:pStyle w:val="TableParagraph"/>
              <w:spacing w:before="13"/>
              <w:ind w:left="98"/>
              <w:rPr>
                <w:rFonts w:eastAsia="Times New Roman" w:cs="Times New Roman"/>
                <w:sz w:val="23"/>
                <w:szCs w:val="23"/>
              </w:rPr>
            </w:pPr>
            <w:r w:rsidRPr="007B4321">
              <w:rPr>
                <w:sz w:val="23"/>
              </w:rPr>
              <w:t>Time-Of-Use Municipal Pumping</w:t>
            </w:r>
          </w:p>
        </w:tc>
        <w:tc>
          <w:tcPr>
            <w:tcW w:w="1968" w:type="dxa"/>
            <w:tcBorders>
              <w:top w:val="single" w:sz="4" w:space="0" w:color="000000"/>
              <w:left w:val="single" w:sz="4" w:space="0" w:color="000000"/>
              <w:bottom w:val="single" w:sz="4" w:space="0" w:color="000000"/>
              <w:right w:val="single" w:sz="4" w:space="0" w:color="000000"/>
            </w:tcBorders>
            <w:vAlign w:val="center"/>
          </w:tcPr>
          <w:p w14:paraId="0E509006" w14:textId="77777777" w:rsidR="0020617D" w:rsidRPr="007B4321" w:rsidRDefault="00331BB3" w:rsidP="003D44EC">
            <w:pPr>
              <w:keepNext/>
              <w:jc w:val="center"/>
              <w:rPr>
                <w:rFonts w:cs="Times New Roman"/>
                <w:color w:val="000000"/>
                <w:szCs w:val="24"/>
              </w:rPr>
            </w:pPr>
            <w:r w:rsidRPr="007B4321">
              <w:rPr>
                <w:rFonts w:cs="Times New Roman"/>
                <w:szCs w:val="24"/>
              </w:rPr>
              <w:t>0.000017</w:t>
            </w:r>
          </w:p>
        </w:tc>
      </w:tr>
      <w:tr w:rsidR="00AC4270" w:rsidRPr="007B4321" w14:paraId="0B331389" w14:textId="77777777" w:rsidTr="003D44EC">
        <w:trPr>
          <w:trHeight w:hRule="exact" w:val="288"/>
        </w:trPr>
        <w:tc>
          <w:tcPr>
            <w:tcW w:w="1344" w:type="dxa"/>
            <w:tcBorders>
              <w:top w:val="single" w:sz="6" w:space="0" w:color="000000"/>
              <w:left w:val="single" w:sz="4" w:space="0" w:color="000000"/>
              <w:bottom w:val="single" w:sz="4" w:space="0" w:color="000000"/>
              <w:right w:val="single" w:sz="4" w:space="0" w:color="000000"/>
            </w:tcBorders>
            <w:vAlign w:val="center"/>
          </w:tcPr>
          <w:p w14:paraId="1E4EC1D2" w14:textId="77777777" w:rsidR="0020617D" w:rsidRPr="007B4321" w:rsidRDefault="00331BB3" w:rsidP="0020617D">
            <w:pPr>
              <w:pStyle w:val="TableParagraph"/>
              <w:spacing w:before="3"/>
              <w:ind w:right="23"/>
              <w:jc w:val="center"/>
              <w:rPr>
                <w:rFonts w:eastAsia="Times New Roman" w:cs="Times New Roman"/>
                <w:sz w:val="23"/>
                <w:szCs w:val="23"/>
              </w:rPr>
            </w:pPr>
            <w:r w:rsidRPr="007B4321">
              <w:rPr>
                <w:sz w:val="23"/>
              </w:rPr>
              <w:t>WH</w:t>
            </w:r>
          </w:p>
        </w:tc>
        <w:tc>
          <w:tcPr>
            <w:tcW w:w="4963" w:type="dxa"/>
            <w:tcBorders>
              <w:top w:val="single" w:sz="6" w:space="0" w:color="000000"/>
              <w:left w:val="single" w:sz="4" w:space="0" w:color="000000"/>
              <w:bottom w:val="single" w:sz="4" w:space="0" w:color="000000"/>
              <w:right w:val="single" w:sz="4" w:space="0" w:color="000000"/>
            </w:tcBorders>
            <w:vAlign w:val="center"/>
          </w:tcPr>
          <w:p w14:paraId="4E6E6922" w14:textId="77777777" w:rsidR="0020617D" w:rsidRPr="007B4321" w:rsidRDefault="00331BB3" w:rsidP="0020617D">
            <w:pPr>
              <w:pStyle w:val="TableParagraph"/>
              <w:spacing w:before="3"/>
              <w:ind w:left="98"/>
              <w:rPr>
                <w:rFonts w:eastAsia="Times New Roman" w:cs="Times New Roman"/>
                <w:sz w:val="23"/>
                <w:szCs w:val="23"/>
              </w:rPr>
            </w:pPr>
            <w:r w:rsidRPr="007B4321">
              <w:rPr>
                <w:sz w:val="23"/>
              </w:rPr>
              <w:t>Water Heating</w:t>
            </w:r>
          </w:p>
        </w:tc>
        <w:tc>
          <w:tcPr>
            <w:tcW w:w="1968" w:type="dxa"/>
            <w:tcBorders>
              <w:top w:val="single" w:sz="4" w:space="0" w:color="000000"/>
              <w:left w:val="single" w:sz="4" w:space="0" w:color="000000"/>
              <w:bottom w:val="single" w:sz="4" w:space="0" w:color="000000"/>
              <w:right w:val="single" w:sz="4" w:space="0" w:color="000000"/>
            </w:tcBorders>
            <w:vAlign w:val="center"/>
          </w:tcPr>
          <w:p w14:paraId="7CC42101" w14:textId="77777777" w:rsidR="0020617D" w:rsidRPr="007B4321" w:rsidRDefault="00331BB3" w:rsidP="003D44EC">
            <w:pPr>
              <w:keepNext/>
              <w:jc w:val="center"/>
              <w:rPr>
                <w:rFonts w:cs="Times New Roman"/>
                <w:color w:val="000000"/>
                <w:szCs w:val="24"/>
              </w:rPr>
            </w:pPr>
            <w:r w:rsidRPr="007B4321">
              <w:rPr>
                <w:rFonts w:cs="Times New Roman"/>
                <w:szCs w:val="24"/>
              </w:rPr>
              <w:t>- 0.000035</w:t>
            </w:r>
          </w:p>
        </w:tc>
      </w:tr>
      <w:tr w:rsidR="00AC4270" w:rsidRPr="007B4321" w14:paraId="23DBF651" w14:textId="77777777" w:rsidTr="003D44EC">
        <w:trPr>
          <w:trHeight w:hRule="exact" w:val="281"/>
        </w:trPr>
        <w:tc>
          <w:tcPr>
            <w:tcW w:w="1344" w:type="dxa"/>
            <w:tcBorders>
              <w:top w:val="single" w:sz="4" w:space="0" w:color="000000"/>
              <w:left w:val="single" w:sz="4" w:space="0" w:color="000000"/>
              <w:bottom w:val="single" w:sz="4" w:space="0" w:color="000000"/>
              <w:right w:val="single" w:sz="4" w:space="0" w:color="000000"/>
            </w:tcBorders>
            <w:vAlign w:val="center"/>
          </w:tcPr>
          <w:p w14:paraId="41811F19" w14:textId="77777777" w:rsidR="0020617D" w:rsidRPr="007B4321" w:rsidRDefault="00331BB3" w:rsidP="0020617D">
            <w:pPr>
              <w:pStyle w:val="TableParagraph"/>
              <w:spacing w:before="6"/>
              <w:ind w:right="7"/>
              <w:jc w:val="center"/>
              <w:rPr>
                <w:rFonts w:eastAsia="Times New Roman" w:cs="Times New Roman"/>
                <w:sz w:val="23"/>
                <w:szCs w:val="23"/>
              </w:rPr>
            </w:pPr>
            <w:r w:rsidRPr="007B4321">
              <w:rPr>
                <w:sz w:val="23"/>
              </w:rPr>
              <w:t>22</w:t>
            </w:r>
          </w:p>
        </w:tc>
        <w:tc>
          <w:tcPr>
            <w:tcW w:w="4963" w:type="dxa"/>
            <w:tcBorders>
              <w:top w:val="single" w:sz="4" w:space="0" w:color="000000"/>
              <w:left w:val="single" w:sz="4" w:space="0" w:color="000000"/>
              <w:bottom w:val="single" w:sz="4" w:space="0" w:color="000000"/>
              <w:right w:val="single" w:sz="4" w:space="0" w:color="000000"/>
            </w:tcBorders>
            <w:vAlign w:val="center"/>
          </w:tcPr>
          <w:p w14:paraId="1192E1FE" w14:textId="77777777" w:rsidR="0020617D" w:rsidRPr="007B4321" w:rsidRDefault="00331BB3" w:rsidP="0020617D">
            <w:pPr>
              <w:pStyle w:val="TableParagraph"/>
              <w:spacing w:before="6"/>
              <w:ind w:left="103"/>
              <w:rPr>
                <w:rFonts w:eastAsia="Times New Roman" w:cs="Times New Roman"/>
                <w:sz w:val="23"/>
                <w:szCs w:val="23"/>
              </w:rPr>
            </w:pPr>
            <w:r w:rsidRPr="007B4321">
              <w:rPr>
                <w:sz w:val="23"/>
              </w:rPr>
              <w:t>Irrigation</w:t>
            </w:r>
          </w:p>
        </w:tc>
        <w:tc>
          <w:tcPr>
            <w:tcW w:w="1968" w:type="dxa"/>
            <w:tcBorders>
              <w:top w:val="single" w:sz="4" w:space="0" w:color="000000"/>
              <w:left w:val="single" w:sz="4" w:space="0" w:color="000000"/>
              <w:bottom w:val="single" w:sz="4" w:space="0" w:color="000000"/>
              <w:right w:val="single" w:sz="4" w:space="0" w:color="000000"/>
            </w:tcBorders>
            <w:vAlign w:val="center"/>
          </w:tcPr>
          <w:p w14:paraId="4AF493EE" w14:textId="77777777" w:rsidR="0020617D" w:rsidRPr="007B4321" w:rsidRDefault="00331BB3" w:rsidP="003D44EC">
            <w:pPr>
              <w:keepNext/>
              <w:jc w:val="center"/>
              <w:rPr>
                <w:rFonts w:cs="Times New Roman"/>
                <w:color w:val="000000"/>
                <w:szCs w:val="24"/>
              </w:rPr>
            </w:pPr>
            <w:r w:rsidRPr="007B4321">
              <w:rPr>
                <w:rFonts w:cs="Times New Roman"/>
                <w:szCs w:val="24"/>
              </w:rPr>
              <w:t>0.000037</w:t>
            </w:r>
          </w:p>
        </w:tc>
      </w:tr>
      <w:tr w:rsidR="00AC4270" w:rsidRPr="007B4321" w14:paraId="79070ECD" w14:textId="77777777" w:rsidTr="003D44EC">
        <w:trPr>
          <w:trHeight w:hRule="exact" w:val="290"/>
        </w:trPr>
        <w:tc>
          <w:tcPr>
            <w:tcW w:w="1344" w:type="dxa"/>
            <w:tcBorders>
              <w:top w:val="single" w:sz="4" w:space="0" w:color="000000"/>
              <w:left w:val="single" w:sz="4" w:space="0" w:color="000000"/>
              <w:bottom w:val="single" w:sz="4" w:space="0" w:color="000000"/>
              <w:right w:val="single" w:sz="4" w:space="0" w:color="000000"/>
            </w:tcBorders>
            <w:vAlign w:val="center"/>
          </w:tcPr>
          <w:p w14:paraId="488547A2" w14:textId="77777777" w:rsidR="0020617D" w:rsidRPr="007B4321" w:rsidRDefault="00331BB3" w:rsidP="0020617D">
            <w:pPr>
              <w:pStyle w:val="TableParagraph"/>
              <w:spacing w:before="8"/>
              <w:ind w:right="3"/>
              <w:jc w:val="center"/>
              <w:rPr>
                <w:rFonts w:eastAsia="Times New Roman" w:cs="Times New Roman"/>
                <w:sz w:val="23"/>
                <w:szCs w:val="23"/>
              </w:rPr>
            </w:pPr>
            <w:r w:rsidRPr="007B4321">
              <w:rPr>
                <w:sz w:val="23"/>
              </w:rPr>
              <w:t>24</w:t>
            </w:r>
          </w:p>
        </w:tc>
        <w:tc>
          <w:tcPr>
            <w:tcW w:w="4963" w:type="dxa"/>
            <w:tcBorders>
              <w:top w:val="single" w:sz="4" w:space="0" w:color="000000"/>
              <w:left w:val="single" w:sz="4" w:space="0" w:color="000000"/>
              <w:bottom w:val="single" w:sz="4" w:space="0" w:color="000000"/>
              <w:right w:val="single" w:sz="4" w:space="0" w:color="000000"/>
            </w:tcBorders>
            <w:vAlign w:val="center"/>
          </w:tcPr>
          <w:p w14:paraId="3C19F342" w14:textId="77777777" w:rsidR="0020617D" w:rsidRPr="007B4321" w:rsidRDefault="00331BB3" w:rsidP="0020617D">
            <w:pPr>
              <w:pStyle w:val="TableParagraph"/>
              <w:spacing w:before="13"/>
              <w:ind w:left="103"/>
              <w:rPr>
                <w:rFonts w:eastAsia="Times New Roman" w:cs="Times New Roman"/>
                <w:sz w:val="23"/>
                <w:szCs w:val="23"/>
              </w:rPr>
            </w:pPr>
            <w:r w:rsidRPr="007B4321">
              <w:rPr>
                <w:sz w:val="23"/>
              </w:rPr>
              <w:t>General</w:t>
            </w:r>
          </w:p>
        </w:tc>
        <w:tc>
          <w:tcPr>
            <w:tcW w:w="1968" w:type="dxa"/>
            <w:tcBorders>
              <w:top w:val="single" w:sz="4" w:space="0" w:color="000000"/>
              <w:left w:val="single" w:sz="4" w:space="0" w:color="000000"/>
              <w:bottom w:val="single" w:sz="4" w:space="0" w:color="000000"/>
              <w:right w:val="single" w:sz="4" w:space="0" w:color="000000"/>
            </w:tcBorders>
            <w:vAlign w:val="center"/>
          </w:tcPr>
          <w:p w14:paraId="4A9609E9" w14:textId="77777777" w:rsidR="0020617D" w:rsidRPr="007B4321" w:rsidRDefault="00331BB3" w:rsidP="003D44EC">
            <w:pPr>
              <w:keepNext/>
              <w:jc w:val="center"/>
              <w:rPr>
                <w:rFonts w:cs="Times New Roman"/>
                <w:color w:val="000000"/>
                <w:szCs w:val="24"/>
              </w:rPr>
            </w:pPr>
            <w:r w:rsidRPr="007B4321">
              <w:rPr>
                <w:rFonts w:cs="Times New Roman"/>
                <w:szCs w:val="24"/>
              </w:rPr>
              <w:t>0.000928</w:t>
            </w:r>
          </w:p>
        </w:tc>
      </w:tr>
      <w:tr w:rsidR="00AC4270" w:rsidRPr="007B4321" w14:paraId="16461606" w14:textId="77777777" w:rsidTr="003D44EC">
        <w:trPr>
          <w:trHeight w:hRule="exact" w:val="288"/>
        </w:trPr>
        <w:tc>
          <w:tcPr>
            <w:tcW w:w="1344" w:type="dxa"/>
            <w:tcBorders>
              <w:top w:val="single" w:sz="4" w:space="0" w:color="000000"/>
              <w:left w:val="single" w:sz="4" w:space="0" w:color="000000"/>
              <w:bottom w:val="single" w:sz="6" w:space="0" w:color="000000"/>
              <w:right w:val="single" w:sz="4" w:space="0" w:color="000000"/>
            </w:tcBorders>
            <w:vAlign w:val="center"/>
          </w:tcPr>
          <w:p w14:paraId="1ECFC28A" w14:textId="77777777" w:rsidR="0020617D" w:rsidRPr="007B4321" w:rsidRDefault="00331BB3" w:rsidP="0020617D">
            <w:pPr>
              <w:pStyle w:val="TableParagraph"/>
              <w:spacing w:before="6"/>
              <w:ind w:right="10"/>
              <w:jc w:val="center"/>
              <w:rPr>
                <w:rFonts w:eastAsia="Times New Roman" w:cs="Times New Roman"/>
                <w:sz w:val="23"/>
                <w:szCs w:val="23"/>
              </w:rPr>
            </w:pPr>
            <w:r w:rsidRPr="007B4321">
              <w:rPr>
                <w:sz w:val="23"/>
              </w:rPr>
              <w:t>25</w:t>
            </w:r>
          </w:p>
        </w:tc>
        <w:tc>
          <w:tcPr>
            <w:tcW w:w="4963" w:type="dxa"/>
            <w:tcBorders>
              <w:top w:val="single" w:sz="4" w:space="0" w:color="000000"/>
              <w:left w:val="single" w:sz="4" w:space="0" w:color="000000"/>
              <w:bottom w:val="single" w:sz="6" w:space="0" w:color="000000"/>
              <w:right w:val="single" w:sz="4" w:space="0" w:color="000000"/>
            </w:tcBorders>
            <w:vAlign w:val="center"/>
          </w:tcPr>
          <w:p w14:paraId="2366E98C" w14:textId="77777777" w:rsidR="0020617D" w:rsidRPr="007B4321" w:rsidRDefault="00331BB3" w:rsidP="0020617D">
            <w:pPr>
              <w:pStyle w:val="TableParagraph"/>
              <w:spacing w:before="6"/>
              <w:ind w:left="103"/>
              <w:rPr>
                <w:rFonts w:eastAsia="Times New Roman" w:cs="Times New Roman"/>
                <w:sz w:val="23"/>
                <w:szCs w:val="23"/>
              </w:rPr>
            </w:pPr>
            <w:r w:rsidRPr="007B4321">
              <w:rPr>
                <w:sz w:val="23"/>
              </w:rPr>
              <w:t>Large Power (excludes transmission)</w:t>
            </w:r>
          </w:p>
        </w:tc>
        <w:tc>
          <w:tcPr>
            <w:tcW w:w="1968" w:type="dxa"/>
            <w:tcBorders>
              <w:top w:val="single" w:sz="4" w:space="0" w:color="000000"/>
              <w:left w:val="single" w:sz="4" w:space="0" w:color="000000"/>
              <w:bottom w:val="single" w:sz="6" w:space="0" w:color="000000"/>
              <w:right w:val="single" w:sz="4" w:space="0" w:color="000000"/>
            </w:tcBorders>
            <w:vAlign w:val="center"/>
          </w:tcPr>
          <w:p w14:paraId="3E1A694A" w14:textId="77777777" w:rsidR="0020617D" w:rsidRPr="007B4321" w:rsidRDefault="00331BB3" w:rsidP="003D44EC">
            <w:pPr>
              <w:keepNext/>
              <w:jc w:val="center"/>
              <w:rPr>
                <w:rFonts w:cs="Times New Roman"/>
                <w:color w:val="000000"/>
                <w:szCs w:val="24"/>
              </w:rPr>
            </w:pPr>
            <w:r w:rsidRPr="007B4321">
              <w:rPr>
                <w:rFonts w:cs="Times New Roman"/>
                <w:szCs w:val="24"/>
              </w:rPr>
              <w:t>0.001585</w:t>
            </w:r>
          </w:p>
        </w:tc>
      </w:tr>
      <w:tr w:rsidR="00AC4270" w:rsidRPr="007B4321" w14:paraId="086CD736" w14:textId="77777777" w:rsidTr="003D44EC">
        <w:trPr>
          <w:trHeight w:hRule="exact" w:val="283"/>
        </w:trPr>
        <w:tc>
          <w:tcPr>
            <w:tcW w:w="1344" w:type="dxa"/>
            <w:tcBorders>
              <w:top w:val="single" w:sz="6" w:space="0" w:color="000000"/>
              <w:left w:val="single" w:sz="4" w:space="0" w:color="000000"/>
              <w:bottom w:val="single" w:sz="4" w:space="0" w:color="000000"/>
              <w:right w:val="single" w:sz="4" w:space="0" w:color="000000"/>
            </w:tcBorders>
            <w:vAlign w:val="center"/>
          </w:tcPr>
          <w:p w14:paraId="19C7AB5D" w14:textId="77777777" w:rsidR="0020617D" w:rsidRPr="007B4321" w:rsidRDefault="00331BB3" w:rsidP="0020617D">
            <w:pPr>
              <w:pStyle w:val="TableParagraph"/>
              <w:spacing w:before="3"/>
              <w:jc w:val="center"/>
              <w:rPr>
                <w:rFonts w:eastAsia="Times New Roman" w:cs="Times New Roman"/>
                <w:sz w:val="23"/>
                <w:szCs w:val="23"/>
              </w:rPr>
            </w:pPr>
            <w:r w:rsidRPr="007B4321">
              <w:rPr>
                <w:sz w:val="23"/>
              </w:rPr>
              <w:t>34</w:t>
            </w:r>
          </w:p>
        </w:tc>
        <w:tc>
          <w:tcPr>
            <w:tcW w:w="4963" w:type="dxa"/>
            <w:tcBorders>
              <w:top w:val="single" w:sz="6" w:space="0" w:color="000000"/>
              <w:left w:val="single" w:sz="4" w:space="0" w:color="000000"/>
              <w:bottom w:val="single" w:sz="4" w:space="0" w:color="000000"/>
              <w:right w:val="single" w:sz="4" w:space="0" w:color="000000"/>
            </w:tcBorders>
            <w:vAlign w:val="center"/>
          </w:tcPr>
          <w:p w14:paraId="1C05D7B1" w14:textId="77777777" w:rsidR="0020617D" w:rsidRPr="007B4321" w:rsidRDefault="00331BB3" w:rsidP="0020617D">
            <w:pPr>
              <w:pStyle w:val="TableParagraph"/>
              <w:spacing w:before="8" w:line="263" w:lineRule="exact"/>
              <w:ind w:left="103"/>
              <w:rPr>
                <w:rFonts w:eastAsia="Times New Roman" w:cs="Times New Roman"/>
                <w:sz w:val="23"/>
                <w:szCs w:val="23"/>
              </w:rPr>
            </w:pPr>
            <w:r w:rsidRPr="007B4321">
              <w:rPr>
                <w:sz w:val="23"/>
              </w:rPr>
              <w:t>Cotton Gin</w:t>
            </w:r>
          </w:p>
        </w:tc>
        <w:tc>
          <w:tcPr>
            <w:tcW w:w="1968" w:type="dxa"/>
            <w:tcBorders>
              <w:top w:val="single" w:sz="6" w:space="0" w:color="000000"/>
              <w:left w:val="single" w:sz="4" w:space="0" w:color="000000"/>
              <w:bottom w:val="single" w:sz="6" w:space="0" w:color="000000"/>
              <w:right w:val="single" w:sz="4" w:space="0" w:color="000000"/>
            </w:tcBorders>
            <w:vAlign w:val="center"/>
          </w:tcPr>
          <w:p w14:paraId="27307107" w14:textId="77777777" w:rsidR="0020617D" w:rsidRPr="007B4321" w:rsidRDefault="00331BB3" w:rsidP="003D44EC">
            <w:pPr>
              <w:keepNext/>
              <w:jc w:val="center"/>
              <w:rPr>
                <w:rFonts w:cs="Times New Roman"/>
                <w:color w:val="000000"/>
                <w:szCs w:val="24"/>
              </w:rPr>
            </w:pPr>
            <w:r w:rsidRPr="007B4321">
              <w:rPr>
                <w:rFonts w:cs="Times New Roman"/>
                <w:szCs w:val="24"/>
              </w:rPr>
              <w:t>0.000482</w:t>
            </w:r>
          </w:p>
        </w:tc>
      </w:tr>
      <w:tr w:rsidR="00AC4270" w:rsidRPr="007B4321" w14:paraId="68371CF6" w14:textId="77777777" w:rsidTr="004D5AE1">
        <w:trPr>
          <w:trHeight w:hRule="exact" w:val="288"/>
        </w:trPr>
        <w:tc>
          <w:tcPr>
            <w:tcW w:w="1344" w:type="dxa"/>
            <w:tcBorders>
              <w:top w:val="single" w:sz="4" w:space="0" w:color="000000"/>
              <w:left w:val="single" w:sz="4" w:space="0" w:color="000000"/>
              <w:bottom w:val="single" w:sz="6" w:space="0" w:color="000000"/>
              <w:right w:val="single" w:sz="4" w:space="0" w:color="000000"/>
            </w:tcBorders>
            <w:vAlign w:val="center"/>
          </w:tcPr>
          <w:p w14:paraId="5288F8E6" w14:textId="77777777" w:rsidR="0020617D" w:rsidRPr="007B4321" w:rsidRDefault="00331BB3" w:rsidP="0020617D">
            <w:pPr>
              <w:pStyle w:val="TableParagraph"/>
              <w:spacing w:before="6"/>
              <w:ind w:right="12"/>
              <w:jc w:val="center"/>
              <w:rPr>
                <w:rFonts w:eastAsia="Times New Roman" w:cs="Times New Roman"/>
                <w:sz w:val="23"/>
                <w:szCs w:val="23"/>
              </w:rPr>
            </w:pPr>
            <w:r w:rsidRPr="007B4321">
              <w:rPr>
                <w:sz w:val="23"/>
              </w:rPr>
              <w:t>41</w:t>
            </w:r>
          </w:p>
        </w:tc>
        <w:tc>
          <w:tcPr>
            <w:tcW w:w="4963" w:type="dxa"/>
            <w:tcBorders>
              <w:top w:val="single" w:sz="4" w:space="0" w:color="000000"/>
              <w:left w:val="single" w:sz="4" w:space="0" w:color="000000"/>
              <w:bottom w:val="single" w:sz="4" w:space="0" w:color="auto"/>
              <w:right w:val="single" w:sz="4" w:space="0" w:color="000000"/>
            </w:tcBorders>
            <w:vAlign w:val="center"/>
          </w:tcPr>
          <w:p w14:paraId="6BC177ED" w14:textId="77777777" w:rsidR="0020617D" w:rsidRPr="007B4321" w:rsidRDefault="00331BB3" w:rsidP="0020617D">
            <w:pPr>
              <w:pStyle w:val="TableParagraph"/>
              <w:spacing w:before="6"/>
              <w:ind w:left="103"/>
              <w:rPr>
                <w:rFonts w:eastAsia="Times New Roman" w:cs="Times New Roman"/>
                <w:sz w:val="23"/>
                <w:szCs w:val="23"/>
              </w:rPr>
            </w:pPr>
            <w:r w:rsidRPr="007B4321">
              <w:rPr>
                <w:sz w:val="23"/>
              </w:rPr>
              <w:t>City and County</w:t>
            </w:r>
          </w:p>
        </w:tc>
        <w:tc>
          <w:tcPr>
            <w:tcW w:w="1968" w:type="dxa"/>
            <w:tcBorders>
              <w:top w:val="single" w:sz="6" w:space="0" w:color="000000"/>
              <w:left w:val="single" w:sz="4" w:space="0" w:color="000000"/>
              <w:bottom w:val="single" w:sz="6" w:space="0" w:color="000000"/>
              <w:right w:val="single" w:sz="4" w:space="0" w:color="000000"/>
            </w:tcBorders>
            <w:vAlign w:val="center"/>
          </w:tcPr>
          <w:p w14:paraId="7822C045" w14:textId="77777777" w:rsidR="0020617D" w:rsidRPr="007B4321" w:rsidRDefault="00331BB3" w:rsidP="003D44EC">
            <w:pPr>
              <w:keepNext/>
              <w:jc w:val="center"/>
              <w:rPr>
                <w:rFonts w:cs="Times New Roman"/>
                <w:color w:val="000000"/>
                <w:szCs w:val="24"/>
              </w:rPr>
            </w:pPr>
            <w:r w:rsidRPr="007B4321">
              <w:rPr>
                <w:rFonts w:cs="Times New Roman"/>
                <w:szCs w:val="24"/>
              </w:rPr>
              <w:t>0.003493</w:t>
            </w:r>
          </w:p>
        </w:tc>
      </w:tr>
      <w:tr w:rsidR="00AC4270" w:rsidRPr="007B4321" w14:paraId="5DD75146" w14:textId="77777777" w:rsidTr="004D5AE1">
        <w:trPr>
          <w:trHeight w:hRule="exact" w:val="557"/>
        </w:trPr>
        <w:tc>
          <w:tcPr>
            <w:tcW w:w="1344" w:type="dxa"/>
            <w:tcBorders>
              <w:top w:val="single" w:sz="6" w:space="0" w:color="000000"/>
              <w:left w:val="single" w:sz="4" w:space="0" w:color="000000"/>
              <w:bottom w:val="single" w:sz="6" w:space="0" w:color="000000"/>
              <w:right w:val="single" w:sz="4" w:space="0" w:color="000000"/>
            </w:tcBorders>
            <w:vAlign w:val="center"/>
          </w:tcPr>
          <w:p w14:paraId="255EF9FD" w14:textId="77777777" w:rsidR="0020617D" w:rsidRPr="007B4321" w:rsidRDefault="00331BB3" w:rsidP="0020617D">
            <w:pPr>
              <w:pStyle w:val="TableParagraph"/>
              <w:spacing w:before="143"/>
              <w:ind w:right="27"/>
              <w:jc w:val="center"/>
              <w:rPr>
                <w:rFonts w:eastAsia="Times New Roman" w:cs="Times New Roman"/>
                <w:sz w:val="23"/>
                <w:szCs w:val="23"/>
              </w:rPr>
            </w:pPr>
            <w:r w:rsidRPr="007B4321">
              <w:rPr>
                <w:sz w:val="23"/>
              </w:rPr>
              <w:t>46</w:t>
            </w:r>
          </w:p>
        </w:tc>
        <w:tc>
          <w:tcPr>
            <w:tcW w:w="4963" w:type="dxa"/>
            <w:tcBorders>
              <w:top w:val="single" w:sz="4" w:space="0" w:color="auto"/>
              <w:left w:val="single" w:sz="4" w:space="0" w:color="000000"/>
              <w:bottom w:val="single" w:sz="6" w:space="0" w:color="000000"/>
              <w:right w:val="single" w:sz="4" w:space="0" w:color="000000"/>
            </w:tcBorders>
            <w:vAlign w:val="center"/>
          </w:tcPr>
          <w:p w14:paraId="47A9129C" w14:textId="77777777" w:rsidR="0020617D" w:rsidRPr="007B4321" w:rsidRDefault="00331BB3" w:rsidP="0020617D">
            <w:pPr>
              <w:pStyle w:val="TableParagraph"/>
              <w:spacing w:before="3" w:line="252" w:lineRule="auto"/>
              <w:ind w:left="103" w:right="477"/>
              <w:rPr>
                <w:rFonts w:eastAsia="Times New Roman" w:cs="Times New Roman"/>
                <w:sz w:val="23"/>
                <w:szCs w:val="23"/>
              </w:rPr>
            </w:pPr>
            <w:r w:rsidRPr="007B4321">
              <w:rPr>
                <w:sz w:val="23"/>
              </w:rPr>
              <w:t>Maintenance Power Service for Cogeneration and Small Power Production Facilities</w:t>
            </w:r>
          </w:p>
        </w:tc>
        <w:tc>
          <w:tcPr>
            <w:tcW w:w="1968" w:type="dxa"/>
            <w:tcBorders>
              <w:top w:val="single" w:sz="6" w:space="0" w:color="000000"/>
              <w:left w:val="single" w:sz="4" w:space="0" w:color="000000"/>
              <w:bottom w:val="single" w:sz="6" w:space="0" w:color="000000"/>
              <w:right w:val="single" w:sz="4" w:space="0" w:color="000000"/>
            </w:tcBorders>
            <w:vAlign w:val="center"/>
          </w:tcPr>
          <w:p w14:paraId="3C3BD140" w14:textId="77777777" w:rsidR="0020617D" w:rsidRPr="007B4321" w:rsidRDefault="00331BB3" w:rsidP="003D44EC">
            <w:pPr>
              <w:keepNext/>
              <w:jc w:val="center"/>
              <w:rPr>
                <w:rFonts w:cs="Times New Roman"/>
                <w:color w:val="000000"/>
                <w:szCs w:val="24"/>
              </w:rPr>
            </w:pPr>
            <w:r w:rsidRPr="007B4321">
              <w:rPr>
                <w:rFonts w:cs="Times New Roman"/>
                <w:szCs w:val="24"/>
              </w:rPr>
              <w:t>0.000482</w:t>
            </w:r>
          </w:p>
        </w:tc>
      </w:tr>
      <w:tr w:rsidR="00AC4270" w:rsidRPr="007B4321" w14:paraId="6CF38460" w14:textId="77777777" w:rsidTr="004D5AE1">
        <w:trPr>
          <w:trHeight w:hRule="exact" w:val="576"/>
        </w:trPr>
        <w:tc>
          <w:tcPr>
            <w:tcW w:w="1344" w:type="dxa"/>
            <w:tcBorders>
              <w:top w:val="single" w:sz="6" w:space="0" w:color="000000"/>
              <w:left w:val="single" w:sz="4" w:space="0" w:color="000000"/>
              <w:bottom w:val="single" w:sz="4" w:space="0" w:color="auto"/>
              <w:right w:val="single" w:sz="4" w:space="0" w:color="000000"/>
            </w:tcBorders>
            <w:vAlign w:val="center"/>
          </w:tcPr>
          <w:p w14:paraId="2855E025" w14:textId="77777777" w:rsidR="0020617D" w:rsidRPr="007B4321" w:rsidRDefault="00331BB3" w:rsidP="0020617D">
            <w:pPr>
              <w:pStyle w:val="TableParagraph"/>
              <w:spacing w:before="143"/>
              <w:ind w:right="27"/>
              <w:jc w:val="center"/>
              <w:rPr>
                <w:rFonts w:eastAsia="Times New Roman" w:cs="Times New Roman"/>
                <w:sz w:val="23"/>
                <w:szCs w:val="23"/>
              </w:rPr>
            </w:pPr>
            <w:r w:rsidRPr="007B4321">
              <w:rPr>
                <w:sz w:val="23"/>
              </w:rPr>
              <w:t>47</w:t>
            </w:r>
          </w:p>
        </w:tc>
        <w:tc>
          <w:tcPr>
            <w:tcW w:w="4963" w:type="dxa"/>
            <w:tcBorders>
              <w:top w:val="single" w:sz="6" w:space="0" w:color="000000"/>
              <w:left w:val="single" w:sz="4" w:space="0" w:color="000000"/>
              <w:bottom w:val="single" w:sz="4" w:space="0" w:color="auto"/>
              <w:right w:val="single" w:sz="4" w:space="0" w:color="000000"/>
            </w:tcBorders>
            <w:vAlign w:val="center"/>
          </w:tcPr>
          <w:p w14:paraId="0184ACA2" w14:textId="77777777" w:rsidR="0020617D" w:rsidRPr="007B4321" w:rsidRDefault="00331BB3" w:rsidP="0020617D">
            <w:pPr>
              <w:pStyle w:val="TableParagraph"/>
              <w:spacing w:before="8" w:line="252" w:lineRule="auto"/>
              <w:ind w:left="108" w:right="561" w:hanging="5"/>
              <w:rPr>
                <w:rFonts w:eastAsia="Times New Roman" w:cs="Times New Roman"/>
                <w:sz w:val="23"/>
                <w:szCs w:val="23"/>
              </w:rPr>
            </w:pPr>
            <w:r w:rsidRPr="007B4321">
              <w:rPr>
                <w:sz w:val="23"/>
              </w:rPr>
              <w:t>Backup Power Service for Cogeneration and Small Power Production Facilities</w:t>
            </w:r>
          </w:p>
        </w:tc>
        <w:tc>
          <w:tcPr>
            <w:tcW w:w="1968" w:type="dxa"/>
            <w:tcBorders>
              <w:top w:val="single" w:sz="6" w:space="0" w:color="000000"/>
              <w:left w:val="single" w:sz="4" w:space="0" w:color="000000"/>
              <w:bottom w:val="single" w:sz="4" w:space="0" w:color="auto"/>
              <w:right w:val="single" w:sz="4" w:space="0" w:color="000000"/>
            </w:tcBorders>
            <w:vAlign w:val="center"/>
          </w:tcPr>
          <w:p w14:paraId="59DF7760" w14:textId="77777777" w:rsidR="0020617D" w:rsidRPr="007B4321" w:rsidRDefault="00331BB3" w:rsidP="003D44EC">
            <w:pPr>
              <w:keepNext/>
              <w:jc w:val="center"/>
              <w:rPr>
                <w:rFonts w:cs="Times New Roman"/>
                <w:color w:val="000000"/>
                <w:szCs w:val="24"/>
              </w:rPr>
            </w:pPr>
            <w:r w:rsidRPr="007B4321">
              <w:rPr>
                <w:rFonts w:cs="Times New Roman"/>
                <w:szCs w:val="24"/>
              </w:rPr>
              <w:t>0.000482</w:t>
            </w:r>
          </w:p>
        </w:tc>
      </w:tr>
    </w:tbl>
    <w:p w14:paraId="552A4EC2" w14:textId="77777777" w:rsidR="002F4BB8" w:rsidRPr="007B4321" w:rsidRDefault="00F90638">
      <w:pPr>
        <w:spacing w:before="6"/>
        <w:rPr>
          <w:rFonts w:eastAsia="Times New Roman" w:cs="Times New Roman"/>
          <w:sz w:val="20"/>
          <w:szCs w:val="20"/>
        </w:rPr>
      </w:pPr>
    </w:p>
    <w:p w14:paraId="531C5A4B" w14:textId="77777777" w:rsidR="003D44EC" w:rsidRPr="007B4321" w:rsidRDefault="00331BB3" w:rsidP="003D44EC">
      <w:pPr>
        <w:pStyle w:val="TopicSubheading"/>
      </w:pPr>
      <w:r w:rsidRPr="007B4321">
        <w:lastRenderedPageBreak/>
        <w:t xml:space="preserve">Elements of Recovery and Coordination with Base-Rate Recovery </w:t>
      </w:r>
      <w:r w:rsidRPr="007B4321">
        <w:rPr>
          <w:b w:val="0"/>
          <w:sz w:val="20"/>
          <w:szCs w:val="20"/>
        </w:rPr>
        <w:t>16 TAC §§ 25.182(d)(1) and (d)(6)</w:t>
      </w:r>
    </w:p>
    <w:p w14:paraId="01C0C5B8" w14:textId="77777777" w:rsidR="002F4BB8" w:rsidRPr="007B4321" w:rsidRDefault="00331BB3" w:rsidP="00F23389">
      <w:pPr>
        <w:pStyle w:val="FoFNumber"/>
      </w:pPr>
      <w:r w:rsidRPr="007B4321">
        <w:t>EPE’s EECRF is calculated to recover EPE’s forecasted annual energy-efficiency expenditures, proceeding expenses from immediately preceding EECRF dockets, a performance bonus, and EM&amp;V expenses allocated to EPE by the Commission.  The EECRF is also calculated to true-up, by rate class, EPE’s net under-recovery.</w:t>
      </w:r>
    </w:p>
    <w:p w14:paraId="5B6DC87B" w14:textId="77777777" w:rsidR="002F4BB8" w:rsidRPr="007B4321" w:rsidRDefault="00331BB3" w:rsidP="00F23389">
      <w:pPr>
        <w:pStyle w:val="FoFNumber"/>
      </w:pPr>
      <w:r w:rsidRPr="007B4321">
        <w:t>EPE does not recover any energy-efficiency costs in its base rates.</w:t>
      </w:r>
    </w:p>
    <w:p w14:paraId="1DB11012" w14:textId="77777777" w:rsidR="002F4BB8" w:rsidRPr="007B4321" w:rsidRDefault="00331BB3" w:rsidP="00F23389">
      <w:pPr>
        <w:pStyle w:val="FoFNumber"/>
      </w:pPr>
      <w:r w:rsidRPr="007B4321">
        <w:t>EPE’s EECRF is designed to provide only energy charges for residential and commercial rate classes.</w:t>
      </w:r>
    </w:p>
    <w:p w14:paraId="2CC256E9" w14:textId="77777777" w:rsidR="002F4BB8" w:rsidRPr="007B4321" w:rsidRDefault="00331BB3" w:rsidP="003D44EC">
      <w:pPr>
        <w:pStyle w:val="TopicSubheading"/>
        <w:rPr>
          <w:rFonts w:cs="Times New Roman"/>
          <w:szCs w:val="15"/>
        </w:rPr>
      </w:pPr>
      <w:r w:rsidRPr="007B4321">
        <w:t xml:space="preserve">EECRF Cost Caps </w:t>
      </w:r>
      <w:r w:rsidRPr="007B4321">
        <w:rPr>
          <w:b w:val="0"/>
          <w:sz w:val="20"/>
          <w:szCs w:val="20"/>
        </w:rPr>
        <w:t>16 TAC §§ 25.182(d)(7) and 25.181 (o)(10)(B)</w:t>
      </w:r>
    </w:p>
    <w:p w14:paraId="368CF05A" w14:textId="77777777" w:rsidR="002F4BB8" w:rsidRPr="007B4321" w:rsidRDefault="00331BB3" w:rsidP="00F23389">
      <w:pPr>
        <w:pStyle w:val="FoFNumber"/>
      </w:pPr>
      <w:r w:rsidRPr="007B4321">
        <w:t xml:space="preserve">To calculate its 2021 cost caps, EPE applied a 1.45% consumer-price-index adjustment to the </w:t>
      </w:r>
      <w:r w:rsidR="00001440" w:rsidRPr="007B4321">
        <w:t>prior years’</w:t>
      </w:r>
      <w:r w:rsidRPr="007B4321">
        <w:t xml:space="preserve"> caps of $0.001</w:t>
      </w:r>
      <w:r w:rsidR="00001440" w:rsidRPr="007B4321">
        <w:t>332</w:t>
      </w:r>
      <w:r w:rsidRPr="007B4321">
        <w:t xml:space="preserve"> per kWh for the residential class and $0.00</w:t>
      </w:r>
      <w:r w:rsidR="00001440" w:rsidRPr="007B4321">
        <w:t>0833</w:t>
      </w:r>
      <w:r w:rsidRPr="007B4321">
        <w:t xml:space="preserve"> per kWh for the commercial classes</w:t>
      </w:r>
      <w:r w:rsidR="00001440" w:rsidRPr="007B4321">
        <w:t xml:space="preserve"> which resulted in the</w:t>
      </w:r>
      <w:r w:rsidRPr="007B4321">
        <w:t xml:space="preserve"> calculated EECRF cost caps for the 2021 program year to be $0.001351 and $0.000845 per kWh for residential and commercial customer groups, respectively.</w:t>
      </w:r>
    </w:p>
    <w:p w14:paraId="57ED8004" w14:textId="77777777" w:rsidR="002F4BB8" w:rsidRPr="007B4321" w:rsidRDefault="00331BB3" w:rsidP="00F23389">
      <w:pPr>
        <w:pStyle w:val="FoFNumber"/>
      </w:pPr>
      <w:r w:rsidRPr="007B4321">
        <w:t>EPE’s 2021 EECRF costs that are subject to the cost cap for the residential customer group would result in an EECRF c</w:t>
      </w:r>
      <w:r w:rsidR="00001440" w:rsidRPr="007B4321">
        <w:t>ap</w:t>
      </w:r>
      <w:r w:rsidRPr="007B4321">
        <w:t xml:space="preserve"> of $0.00100</w:t>
      </w:r>
      <w:r w:rsidR="00001440" w:rsidRPr="007B4321">
        <w:t>3</w:t>
      </w:r>
      <w:r w:rsidRPr="007B4321">
        <w:t xml:space="preserve"> per kWh, which is below the cost cap for 2021 of $0.001351 per kWh.  However, the commercial customer group is above the 2021 cost cap.</w:t>
      </w:r>
    </w:p>
    <w:p w14:paraId="4D54F2B1" w14:textId="77777777" w:rsidR="002F4BB8" w:rsidRPr="007B4321" w:rsidRDefault="00331BB3" w:rsidP="003D44EC">
      <w:pPr>
        <w:pStyle w:val="TopicSubheading"/>
        <w:rPr>
          <w:rFonts w:eastAsia="Arial" w:cs="Times New Roman"/>
          <w:sz w:val="20"/>
          <w:szCs w:val="20"/>
        </w:rPr>
      </w:pPr>
      <w:r w:rsidRPr="007B4321">
        <w:rPr>
          <w:u w:color="000000"/>
        </w:rPr>
        <w:t>Under-</w:t>
      </w:r>
      <w:r w:rsidRPr="007B4321">
        <w:t xml:space="preserve">Recovery </w:t>
      </w:r>
      <w:r w:rsidRPr="007B4321">
        <w:rPr>
          <w:sz w:val="20"/>
          <w:szCs w:val="20"/>
        </w:rPr>
        <w:t>16 TAC § 25.182(d)(2)</w:t>
      </w:r>
    </w:p>
    <w:p w14:paraId="4EEF56F4" w14:textId="16E51448" w:rsidR="002F4BB8" w:rsidRPr="007B4321" w:rsidRDefault="00331BB3" w:rsidP="00E605A5">
      <w:pPr>
        <w:pStyle w:val="FoFNumber"/>
      </w:pPr>
      <w:r w:rsidRPr="007B4321">
        <w:t>EPE requests a true-up adjustment, by rate class, of EPE’s net under-recovery for 2019 of $2,455</w:t>
      </w:r>
      <w:r w:rsidR="00E605A5" w:rsidRPr="007B4321">
        <w:t>, including interest</w:t>
      </w:r>
      <w:r w:rsidRPr="007B4321">
        <w:t>.</w:t>
      </w:r>
    </w:p>
    <w:p w14:paraId="4EE7A2A2" w14:textId="773C0038" w:rsidR="002F4BB8" w:rsidRPr="007B4321" w:rsidRDefault="00331BB3" w:rsidP="00E605A5">
      <w:pPr>
        <w:pStyle w:val="FoFNumber"/>
        <w:rPr>
          <w:rFonts w:eastAsia="Times New Roman" w:cs="Times New Roman"/>
          <w:szCs w:val="24"/>
        </w:rPr>
      </w:pPr>
      <w:r w:rsidRPr="007B4321">
        <w:t>EPE accurately calculated the under-recovery of 2019 program costs to be $2,455</w:t>
      </w:r>
      <w:r w:rsidR="00E605A5" w:rsidRPr="007B4321">
        <w:t>, including interest</w:t>
      </w:r>
      <w:r w:rsidRPr="007B4321">
        <w:t>.</w:t>
      </w:r>
    </w:p>
    <w:p w14:paraId="27571272" w14:textId="77777777" w:rsidR="002F4BB8" w:rsidRPr="007B4321" w:rsidRDefault="00331BB3" w:rsidP="003D44EC">
      <w:pPr>
        <w:pStyle w:val="TopicSubheading"/>
        <w:rPr>
          <w:rFonts w:eastAsia="Arial" w:cs="Times New Roman"/>
          <w:szCs w:val="15"/>
        </w:rPr>
      </w:pPr>
      <w:r w:rsidRPr="007B4321">
        <w:t>Proceeding Expenses</w:t>
      </w:r>
      <w:r w:rsidRPr="007B4321">
        <w:rPr>
          <w:b w:val="0"/>
          <w:sz w:val="20"/>
          <w:szCs w:val="20"/>
        </w:rPr>
        <w:t xml:space="preserve"> 16 TAC §25.182(d)(3)</w:t>
      </w:r>
    </w:p>
    <w:p w14:paraId="526B60FA" w14:textId="06EC530B" w:rsidR="002F4BB8" w:rsidRPr="007B4321" w:rsidRDefault="00331BB3" w:rsidP="00F23389">
      <w:pPr>
        <w:pStyle w:val="FoFNumber"/>
      </w:pPr>
      <w:r w:rsidRPr="007B4321">
        <w:t>As part of the application, EPE filed the affidavit of attorney Bret J. Slocum to support the reasonableness and necessity of its rate-case expenses incurred in its prior EECRF proceeding, Docket No. 49496.  Based on his experience, Mr. Slocum opined that EPE’s rate-case expenses of $46,36</w:t>
      </w:r>
      <w:r w:rsidR="004D5AE1" w:rsidRPr="007B4321">
        <w:t>4</w:t>
      </w:r>
      <w:r w:rsidRPr="007B4321">
        <w:t xml:space="preserve"> incurred in Docket No. 49496 were reasonable and </w:t>
      </w:r>
      <w:r w:rsidRPr="007B4321">
        <w:lastRenderedPageBreak/>
        <w:t>necessary.</w:t>
      </w:r>
    </w:p>
    <w:p w14:paraId="7C742E2F" w14:textId="0120E3D8" w:rsidR="002F4BB8" w:rsidRPr="007B4321" w:rsidRDefault="00331BB3" w:rsidP="00F23389">
      <w:pPr>
        <w:pStyle w:val="FoFNumber"/>
        <w:rPr>
          <w:rFonts w:eastAsia="Times New Roman" w:cs="Times New Roman"/>
          <w:szCs w:val="24"/>
        </w:rPr>
      </w:pPr>
      <w:r w:rsidRPr="007B4321">
        <w:t>On July 6, 2020, the City of El Paso filed the affidavit of attorney Norman J. Gordon in support of the reasonableness and necessity of its rate-case expenses for Docket No. 49496.  Based on his experience, Mr. Gordon opined that the City of El Paso’s rate-case expenses of $10,277 incurred in Docket No. 49496 were reasonable and necessary.</w:t>
      </w:r>
    </w:p>
    <w:p w14:paraId="101CB956" w14:textId="77777777" w:rsidR="002F4BB8" w:rsidRPr="007B4321" w:rsidRDefault="00331BB3" w:rsidP="00F23389">
      <w:pPr>
        <w:pStyle w:val="FoFNumber"/>
        <w:rPr>
          <w:rFonts w:eastAsia="Times New Roman" w:cs="Times New Roman"/>
          <w:szCs w:val="24"/>
        </w:rPr>
      </w:pPr>
      <w:r w:rsidRPr="007B4321">
        <w:t>EPE requests to recover rate-case expenses in the amount of $56,641.</w:t>
      </w:r>
    </w:p>
    <w:p w14:paraId="38FEE040" w14:textId="77777777" w:rsidR="002F4BB8" w:rsidRPr="007B4321" w:rsidRDefault="00331BB3" w:rsidP="003D44EC">
      <w:pPr>
        <w:pStyle w:val="TopicSubheading"/>
        <w:rPr>
          <w:rFonts w:ascii="Arial" w:eastAsia="Arial" w:hAnsi="Arial" w:cs="Arial"/>
          <w:szCs w:val="15"/>
        </w:rPr>
      </w:pPr>
      <w:r w:rsidRPr="007B4321">
        <w:t xml:space="preserve">Performance Bonus Calculations </w:t>
      </w:r>
      <w:r w:rsidRPr="007B4321">
        <w:rPr>
          <w:b w:val="0"/>
          <w:sz w:val="20"/>
          <w:szCs w:val="20"/>
        </w:rPr>
        <w:t>16 TAC §§ 25.181(d)(1) and 25.182(e)</w:t>
      </w:r>
    </w:p>
    <w:p w14:paraId="24EDC015" w14:textId="77777777" w:rsidR="004405EB" w:rsidRPr="007B4321" w:rsidRDefault="00331BB3" w:rsidP="00F23389">
      <w:pPr>
        <w:pStyle w:val="FoFNumber"/>
      </w:pPr>
      <w:r w:rsidRPr="007B4321">
        <w:rPr>
          <w:snapToGrid w:val="0"/>
        </w:rPr>
        <w:t xml:space="preserve">Based upon a weighted average cost of capital of 7.025%, $80 avoided cost per kW, $0.05084 avoided cost per kWh, and a 2% inflation rate, the total present value of the avoided costs associated with the 2019 demand reductions and energy savings is $18,729,956.  EPE included the prior year’s performance bonus and used total program costs </w:t>
      </w:r>
      <w:r w:rsidR="006E62BC" w:rsidRPr="007B4321">
        <w:rPr>
          <w:snapToGrid w:val="0"/>
        </w:rPr>
        <w:t xml:space="preserve">for total program costs </w:t>
      </w:r>
      <w:r w:rsidRPr="007B4321">
        <w:rPr>
          <w:snapToGrid w:val="0"/>
        </w:rPr>
        <w:t>of $5,3</w:t>
      </w:r>
      <w:r w:rsidR="006E62BC" w:rsidRPr="007B4321">
        <w:rPr>
          <w:snapToGrid w:val="0"/>
        </w:rPr>
        <w:t>2</w:t>
      </w:r>
      <w:r w:rsidR="00B57870" w:rsidRPr="007B4321">
        <w:rPr>
          <w:snapToGrid w:val="0"/>
        </w:rPr>
        <w:t>5,317</w:t>
      </w:r>
      <w:r w:rsidRPr="007B4321">
        <w:rPr>
          <w:snapToGrid w:val="0"/>
        </w:rPr>
        <w:t xml:space="preserve"> for purposes of calculating the bonus for the 2019 program.  The resulting net benefits are $13,4</w:t>
      </w:r>
      <w:r w:rsidR="00B57870" w:rsidRPr="007B4321">
        <w:rPr>
          <w:snapToGrid w:val="0"/>
        </w:rPr>
        <w:t>04,639</w:t>
      </w:r>
      <w:r w:rsidRPr="007B4321">
        <w:rPr>
          <w:snapToGrid w:val="0"/>
        </w:rPr>
        <w:t>.</w:t>
      </w:r>
    </w:p>
    <w:p w14:paraId="4FEEAE62" w14:textId="77777777" w:rsidR="002F4BB8" w:rsidRPr="007B4321" w:rsidRDefault="00331BB3" w:rsidP="00F23389">
      <w:pPr>
        <w:pStyle w:val="FoFNumber"/>
      </w:pPr>
      <w:r w:rsidRPr="007B4321">
        <w:t>EPE seeks the maximum allowable performance bonus under 16 TAC § 25.182(e), which is 10% of the net benefits of $13,4</w:t>
      </w:r>
      <w:r w:rsidR="00B57870" w:rsidRPr="007B4321">
        <w:t>04,639</w:t>
      </w:r>
      <w:r w:rsidRPr="007B4321">
        <w:t xml:space="preserve"> achieved through its energy efficiency incentive program costs, for exceeding its goal for calendar year 2019.  The resulting performance bonus from this calculation is $</w:t>
      </w:r>
      <w:r w:rsidR="00B57870" w:rsidRPr="007B4321">
        <w:t>1,340,464</w:t>
      </w:r>
      <w:r w:rsidRPr="007B4321">
        <w:t>.</w:t>
      </w:r>
      <w:r w:rsidR="00B57870" w:rsidRPr="007B4321">
        <w:t xml:space="preserve">  This was further reduced to reflect the commercial customer group exceeding the cost cap, a reduction of $164,906, for a final requested bonus of $1,175,558.  </w:t>
      </w:r>
    </w:p>
    <w:p w14:paraId="12A4CDC1" w14:textId="77777777" w:rsidR="002F4BB8" w:rsidRPr="007B4321" w:rsidRDefault="00331BB3" w:rsidP="003D44EC">
      <w:pPr>
        <w:pStyle w:val="TopicSubheading"/>
        <w:rPr>
          <w:rFonts w:ascii="Arial" w:eastAsia="Arial" w:hAnsi="Arial" w:cs="Arial"/>
          <w:sz w:val="15"/>
          <w:szCs w:val="15"/>
        </w:rPr>
      </w:pPr>
      <w:r w:rsidRPr="007B4321">
        <w:t>Evaluation, Measurement, and Verification Expenses</w:t>
      </w:r>
      <w:r w:rsidRPr="007B4321">
        <w:rPr>
          <w:b w:val="0"/>
          <w:sz w:val="20"/>
          <w:szCs w:val="20"/>
        </w:rPr>
        <w:t xml:space="preserve"> 16 TAC §25.181(o)</w:t>
      </w:r>
    </w:p>
    <w:p w14:paraId="57762B05" w14:textId="77777777" w:rsidR="002F4BB8" w:rsidRPr="007B4321" w:rsidRDefault="00331BB3" w:rsidP="00F23389">
      <w:pPr>
        <w:pStyle w:val="FoFNumber"/>
      </w:pPr>
      <w:r w:rsidRPr="007B4321">
        <w:rPr>
          <w:snapToGrid w:val="0"/>
        </w:rPr>
        <w:t>The EM&amp;V costs that the Commission assigned to EPE for recovery in program year 2021 are $57,378, and none of these costs have been recovered in a prior EECRF proceeding</w:t>
      </w:r>
      <w:r w:rsidRPr="007B4321">
        <w:t>.</w:t>
      </w:r>
    </w:p>
    <w:p w14:paraId="6B5D4AB6" w14:textId="77777777" w:rsidR="002F4BB8" w:rsidRPr="007B4321" w:rsidRDefault="00331BB3" w:rsidP="003D44EC">
      <w:pPr>
        <w:pStyle w:val="TopicSubheading"/>
        <w:rPr>
          <w:rFonts w:ascii="Arial" w:eastAsia="Arial" w:hAnsi="Arial" w:cs="Arial"/>
          <w:sz w:val="15"/>
          <w:szCs w:val="15"/>
        </w:rPr>
      </w:pPr>
      <w:r w:rsidRPr="007B4321">
        <w:t>Administrative and Research and Development Cost Caps</w:t>
      </w:r>
      <w:r w:rsidRPr="007B4321">
        <w:rPr>
          <w:b w:val="0"/>
          <w:sz w:val="20"/>
          <w:szCs w:val="20"/>
        </w:rPr>
        <w:t xml:space="preserve"> 16 TAC §§ 25.181(g) and (o)(10)(B)</w:t>
      </w:r>
    </w:p>
    <w:p w14:paraId="75081788" w14:textId="72720823" w:rsidR="002F4BB8" w:rsidRPr="007B4321" w:rsidRDefault="00331BB3" w:rsidP="00F23389">
      <w:pPr>
        <w:pStyle w:val="FoFNumber"/>
      </w:pPr>
      <w:r w:rsidRPr="007B4321">
        <w:t>EPE incurred $</w:t>
      </w:r>
      <w:r w:rsidR="00611919" w:rsidRPr="007B4321">
        <w:t xml:space="preserve">109,143 </w:t>
      </w:r>
      <w:r w:rsidRPr="007B4321">
        <w:t xml:space="preserve">in necessary administrative costs, including its own proceeding expenses, for the 2019 energy-efficiency programs to meet its goals; this amount was </w:t>
      </w:r>
      <w:r w:rsidR="00611919" w:rsidRPr="007B4321">
        <w:t>2.5</w:t>
      </w:r>
      <w:r w:rsidRPr="007B4321">
        <w:t>% of the total program costs.  EPE incurred $23,647 in research and development costs for the 2019 energy-efficiency programs to meet its goals</w:t>
      </w:r>
      <w:r w:rsidR="009718A7" w:rsidRPr="007B4321">
        <w:t>; this amount was 0.5% of the total program costs</w:t>
      </w:r>
      <w:r w:rsidRPr="007B4321">
        <w:t xml:space="preserve">.  Therefore, EPE’s cumulative cost of administration and research and </w:t>
      </w:r>
      <w:r w:rsidRPr="007B4321">
        <w:lastRenderedPageBreak/>
        <w:t xml:space="preserve">development was approximately </w:t>
      </w:r>
      <w:r w:rsidR="00611919" w:rsidRPr="007B4321">
        <w:t>3.0</w:t>
      </w:r>
      <w:r w:rsidRPr="007B4321">
        <w:t>% of the total program costs.</w:t>
      </w:r>
    </w:p>
    <w:p w14:paraId="527BC081" w14:textId="77777777" w:rsidR="002364D4" w:rsidRPr="007B4321" w:rsidRDefault="00331BB3" w:rsidP="00F23389">
      <w:pPr>
        <w:pStyle w:val="FoFNumber"/>
      </w:pPr>
      <w:r w:rsidRPr="007B4321">
        <w:t>EPE’s administrative costs for its 201</w:t>
      </w:r>
      <w:r w:rsidR="001159C6" w:rsidRPr="007B4321">
        <w:t>9</w:t>
      </w:r>
      <w:r w:rsidRPr="007B4321">
        <w:t xml:space="preserve"> energy-efficiency programs did not exceed 15% of the total program costs. </w:t>
      </w:r>
    </w:p>
    <w:p w14:paraId="7094F7B1" w14:textId="77777777" w:rsidR="002364D4" w:rsidRPr="007B4321" w:rsidRDefault="00331BB3" w:rsidP="00F23389">
      <w:pPr>
        <w:pStyle w:val="FoFNumber"/>
      </w:pPr>
      <w:r w:rsidRPr="007B4321">
        <w:t>EPE’s research and development costs for its 201</w:t>
      </w:r>
      <w:r w:rsidR="001159C6" w:rsidRPr="007B4321">
        <w:t>9</w:t>
      </w:r>
      <w:r w:rsidRPr="007B4321">
        <w:t xml:space="preserve"> energy­ efficiency programs did not exceed 10% of the total program costs. </w:t>
      </w:r>
    </w:p>
    <w:p w14:paraId="1DEF318C" w14:textId="77777777" w:rsidR="002F4BB8" w:rsidRPr="007B4321" w:rsidRDefault="00331BB3" w:rsidP="00F23389">
      <w:pPr>
        <w:pStyle w:val="FoFNumber"/>
      </w:pPr>
      <w:r w:rsidRPr="007B4321">
        <w:t>The cumulative cost of EPE’s administrative and research and development costs for its 201</w:t>
      </w:r>
      <w:r w:rsidR="001159C6" w:rsidRPr="007B4321">
        <w:t>9</w:t>
      </w:r>
      <w:r w:rsidRPr="007B4321">
        <w:t xml:space="preserve"> energy-efficiency programs did not exceed 20% of the total program costs.</w:t>
      </w:r>
    </w:p>
    <w:p w14:paraId="7C4C7F3A" w14:textId="77777777" w:rsidR="002F4BB8" w:rsidRPr="007B4321" w:rsidRDefault="00331BB3" w:rsidP="003D44EC">
      <w:pPr>
        <w:pStyle w:val="TopicSubheading"/>
        <w:rPr>
          <w:rFonts w:ascii="Arial" w:eastAsia="Arial" w:hAnsi="Arial" w:cs="Arial"/>
          <w:sz w:val="15"/>
          <w:szCs w:val="15"/>
        </w:rPr>
      </w:pPr>
      <w:r w:rsidRPr="007B4321">
        <w:t xml:space="preserve">Cost Effectiveness </w:t>
      </w:r>
      <w:r w:rsidRPr="007B4321">
        <w:rPr>
          <w:b w:val="0"/>
          <w:sz w:val="20"/>
          <w:szCs w:val="20"/>
        </w:rPr>
        <w:t>16 TAC § 25.181(d)</w:t>
      </w:r>
    </w:p>
    <w:p w14:paraId="1DB9DD31" w14:textId="77777777" w:rsidR="002F4BB8" w:rsidRPr="007B4321" w:rsidRDefault="00331BB3" w:rsidP="00F23389">
      <w:pPr>
        <w:pStyle w:val="FoFNumber"/>
      </w:pPr>
      <w:r w:rsidRPr="007B4321">
        <w:t>EPE used an avoided cost of capacity of $80 per kW for 201</w:t>
      </w:r>
      <w:r w:rsidR="00001440" w:rsidRPr="007B4321">
        <w:t>9</w:t>
      </w:r>
      <w:r w:rsidRPr="007B4321">
        <w:t>.  EPE used Commission Staff’s posted avoided cost of energy of $</w:t>
      </w:r>
      <w:r w:rsidRPr="007B4321">
        <w:rPr>
          <w:snapToGrid w:val="0"/>
          <w:szCs w:val="20"/>
        </w:rPr>
        <w:t>0.05084</w:t>
      </w:r>
      <w:r w:rsidRPr="007B4321">
        <w:t xml:space="preserve"> per kWh for 2019.</w:t>
      </w:r>
    </w:p>
    <w:p w14:paraId="7E6763DC" w14:textId="77777777" w:rsidR="002F4BB8" w:rsidRPr="007B4321" w:rsidRDefault="00331BB3" w:rsidP="00F23389">
      <w:pPr>
        <w:pStyle w:val="FoFNumber"/>
      </w:pPr>
      <w:r w:rsidRPr="007B4321">
        <w:t>EPE determined that its 2019 portfolio of energy-efficiency programs produced a benefit-cost ratio of 3.5, which exceeds the benefit-cost ratio of 1.0 or greater required by 16 TAC § 251 81(d).</w:t>
      </w:r>
    </w:p>
    <w:p w14:paraId="5F6EDE90" w14:textId="77777777" w:rsidR="002F4BB8" w:rsidRPr="007B4321" w:rsidRDefault="00331BB3" w:rsidP="00F23389">
      <w:pPr>
        <w:pStyle w:val="FoFNumber"/>
        <w:rPr>
          <w:rFonts w:eastAsia="Times New Roman" w:cs="Times New Roman"/>
          <w:szCs w:val="24"/>
        </w:rPr>
      </w:pPr>
      <w:r w:rsidRPr="007B4321">
        <w:t>EPE’s demand-response pilot program was the one program that was not cost effective in 2019.</w:t>
      </w:r>
    </w:p>
    <w:p w14:paraId="3B5D2D07" w14:textId="77777777" w:rsidR="002F4BB8" w:rsidRPr="007B4321" w:rsidRDefault="00331BB3" w:rsidP="00F23389">
      <w:pPr>
        <w:pStyle w:val="FoFNumber"/>
        <w:rPr>
          <w:rFonts w:eastAsia="Times New Roman" w:cs="Times New Roman"/>
          <w:szCs w:val="24"/>
        </w:rPr>
      </w:pPr>
      <w:r w:rsidRPr="007B4321">
        <w:t>EPE’s demand-response pilot program concluded at the end of 2019.</w:t>
      </w:r>
    </w:p>
    <w:p w14:paraId="009542E8" w14:textId="77777777" w:rsidR="002F4BB8" w:rsidRPr="007B4321" w:rsidRDefault="00331BB3" w:rsidP="00F23389">
      <w:pPr>
        <w:pStyle w:val="FoFNumber"/>
        <w:rPr>
          <w:rFonts w:eastAsia="Times New Roman" w:cs="Times New Roman"/>
          <w:szCs w:val="24"/>
        </w:rPr>
      </w:pPr>
      <w:r w:rsidRPr="007B4321">
        <w:t>EPE’s forecasted 2021 energy-efficiency program costs of $4,685,552 are a reasonable estimate of the costs necessary to provide energy-efficiency programs and meet EPE’s goals for program year 2021.</w:t>
      </w:r>
    </w:p>
    <w:p w14:paraId="79347E31" w14:textId="77777777" w:rsidR="002F4BB8" w:rsidRPr="007B4321" w:rsidRDefault="00331BB3" w:rsidP="003D44EC">
      <w:pPr>
        <w:pStyle w:val="TopicSubheading"/>
        <w:rPr>
          <w:rFonts w:ascii="Arial" w:eastAsia="Arial" w:hAnsi="Arial" w:cs="Arial"/>
          <w:sz w:val="15"/>
          <w:szCs w:val="15"/>
        </w:rPr>
      </w:pPr>
      <w:r w:rsidRPr="007B4321">
        <w:t xml:space="preserve">Total Cost Recovery </w:t>
      </w:r>
      <w:r w:rsidRPr="007B4321">
        <w:rPr>
          <w:b w:val="0"/>
          <w:sz w:val="20"/>
          <w:szCs w:val="20"/>
        </w:rPr>
        <w:t>16 TAC § 25.182(d)</w:t>
      </w:r>
    </w:p>
    <w:p w14:paraId="6DDA1BAE" w14:textId="77777777" w:rsidR="002F4BB8" w:rsidRPr="007B4321" w:rsidRDefault="00331BB3" w:rsidP="00F23389">
      <w:pPr>
        <w:pStyle w:val="FoFNumber"/>
      </w:pPr>
      <w:r w:rsidRPr="007B4321">
        <w:t>EPE’s net cost recovery of $1,292,032—which consists of EPE’s projected EM&amp;V expenses to be recovered in 2021, EPE’s net under-recovery of program year 2019 energy-efficiency costs, EPE’ s performance bonus earned in 2019, and rate-case expenses from Docket No. 49496—is a reasonable amount.</w:t>
      </w:r>
    </w:p>
    <w:p w14:paraId="6364CD95" w14:textId="77777777" w:rsidR="002F4BB8" w:rsidRPr="007B4321" w:rsidRDefault="00331BB3" w:rsidP="003D44EC">
      <w:pPr>
        <w:pStyle w:val="TopicSubheading"/>
        <w:rPr>
          <w:rFonts w:ascii="Arial" w:eastAsia="Arial" w:hAnsi="Arial" w:cs="Arial"/>
          <w:sz w:val="15"/>
          <w:szCs w:val="15"/>
        </w:rPr>
      </w:pPr>
      <w:r w:rsidRPr="007B4321">
        <w:t xml:space="preserve">Rate Classes and Direct Assignment of Costs </w:t>
      </w:r>
      <w:r w:rsidRPr="007B4321">
        <w:rPr>
          <w:b w:val="0"/>
          <w:sz w:val="20"/>
          <w:szCs w:val="20"/>
        </w:rPr>
        <w:t>16 TAC § 25.182(d)(2)</w:t>
      </w:r>
    </w:p>
    <w:p w14:paraId="2D2FB235" w14:textId="77777777" w:rsidR="002F4BB8" w:rsidRPr="007B4321" w:rsidRDefault="00331BB3" w:rsidP="00F23389">
      <w:pPr>
        <w:pStyle w:val="FoFNumber"/>
      </w:pPr>
      <w:r w:rsidRPr="007B4321">
        <w:t>To the maximum extent possible, EPE directly assigned costs to each EECRF rate class that receives services under the programs.</w:t>
      </w:r>
    </w:p>
    <w:p w14:paraId="19D4765F" w14:textId="77777777" w:rsidR="002F4BB8" w:rsidRPr="007B4321" w:rsidRDefault="00331BB3" w:rsidP="00F23389">
      <w:pPr>
        <w:pStyle w:val="FoFNumber"/>
        <w:rPr>
          <w:rFonts w:eastAsia="Times New Roman" w:cs="Times New Roman"/>
          <w:szCs w:val="24"/>
        </w:rPr>
      </w:pPr>
      <w:r w:rsidRPr="007B4321">
        <w:lastRenderedPageBreak/>
        <w:t>EPE’s proposed rate classes reflect the retail rate classes approved in EPE’s most recent base-rate proceeding, excluding non-eligible customers.</w:t>
      </w:r>
    </w:p>
    <w:p w14:paraId="06CDC932" w14:textId="77777777" w:rsidR="002F4BB8" w:rsidRPr="007B4321" w:rsidRDefault="00331BB3" w:rsidP="00F23389">
      <w:pPr>
        <w:pStyle w:val="FoFNumber"/>
        <w:rPr>
          <w:rFonts w:eastAsia="Times New Roman" w:cs="Times New Roman"/>
          <w:szCs w:val="24"/>
        </w:rPr>
      </w:pPr>
      <w:r w:rsidRPr="007B4321">
        <w:t>The cotton gin and cogeneration rate classes each contain fewer than 20 customers and receive similar services under the same energy-efficiency programs.  Combining the rate classes will ease the administration of cost recovery.</w:t>
      </w:r>
    </w:p>
    <w:p w14:paraId="1FAC3CDC" w14:textId="77777777" w:rsidR="002F4BB8" w:rsidRPr="007B4321" w:rsidRDefault="00331BB3" w:rsidP="00F23389">
      <w:pPr>
        <w:pStyle w:val="FoFNumber"/>
      </w:pPr>
      <w:r w:rsidRPr="007B4321">
        <w:t>EPE showed that good cause supports combining EPE’s cotton gin rate class with EPE’s cogeneration rate class in 2021.</w:t>
      </w:r>
    </w:p>
    <w:p w14:paraId="2DA79884" w14:textId="77777777" w:rsidR="002F4BB8" w:rsidRPr="007B4321" w:rsidRDefault="00331BB3" w:rsidP="003D44EC">
      <w:pPr>
        <w:pStyle w:val="TopicSubheading"/>
        <w:rPr>
          <w:rFonts w:ascii="Arial" w:eastAsia="Arial" w:hAnsi="Arial" w:cs="Arial"/>
          <w:sz w:val="15"/>
          <w:szCs w:val="15"/>
        </w:rPr>
      </w:pPr>
      <w:r w:rsidRPr="007B4321">
        <w:t xml:space="preserve">Fostering of Competition Among Energy-Efficiency Service Providers </w:t>
      </w:r>
      <w:r w:rsidRPr="007B4321">
        <w:rPr>
          <w:b w:val="0"/>
          <w:sz w:val="20"/>
          <w:szCs w:val="20"/>
        </w:rPr>
        <w:t>16 TAC § 25.181(g)(2)</w:t>
      </w:r>
    </w:p>
    <w:p w14:paraId="1192DC91" w14:textId="77777777" w:rsidR="002F4BB8" w:rsidRPr="007B4321" w:rsidRDefault="00331BB3" w:rsidP="00F23389">
      <w:pPr>
        <w:pStyle w:val="FoFNumber"/>
      </w:pPr>
      <w:r w:rsidRPr="007B4321">
        <w:t>EPE has adopted measures to foster competition among energy-efficiency service providers.</w:t>
      </w:r>
    </w:p>
    <w:p w14:paraId="4A246DA2" w14:textId="77777777" w:rsidR="002F4BB8" w:rsidRPr="007B4321" w:rsidRDefault="00331BB3" w:rsidP="00494933">
      <w:pPr>
        <w:pStyle w:val="TopicSubheading"/>
      </w:pPr>
      <w:r w:rsidRPr="007B4321">
        <w:t>Requirements for Standard Offer, Market Transformation, and Self-Delivered Programs</w:t>
      </w:r>
      <w:r w:rsidRPr="007B4321">
        <w:rPr>
          <w:sz w:val="20"/>
          <w:szCs w:val="20"/>
        </w:rPr>
        <w:t xml:space="preserve"> </w:t>
      </w:r>
      <w:r w:rsidRPr="007B4321">
        <w:rPr>
          <w:b w:val="0"/>
          <w:sz w:val="20"/>
          <w:szCs w:val="20"/>
        </w:rPr>
        <w:t>16 TAC § 25.181(h)-(k)</w:t>
      </w:r>
    </w:p>
    <w:p w14:paraId="728EBA36" w14:textId="77777777" w:rsidR="002F4BB8" w:rsidRPr="007B4321" w:rsidRDefault="00331BB3" w:rsidP="00F23389">
      <w:pPr>
        <w:pStyle w:val="FoFNumber"/>
      </w:pPr>
      <w:r w:rsidRPr="007B4321">
        <w:t>EPE’s energy-efficiency program includes standard-offer and market-transformation programs.</w:t>
      </w:r>
    </w:p>
    <w:p w14:paraId="688AAC11" w14:textId="77777777" w:rsidR="002F4BB8" w:rsidRPr="007B4321" w:rsidRDefault="00331BB3" w:rsidP="003D44EC">
      <w:pPr>
        <w:pStyle w:val="TopicSubheading"/>
        <w:rPr>
          <w:rFonts w:ascii="Arial" w:eastAsia="Arial" w:hAnsi="Arial" w:cs="Arial"/>
          <w:sz w:val="15"/>
          <w:szCs w:val="15"/>
        </w:rPr>
      </w:pPr>
      <w:r w:rsidRPr="007B4321">
        <w:t xml:space="preserve">Incentive Payments </w:t>
      </w:r>
      <w:r w:rsidRPr="007B4321">
        <w:rPr>
          <w:b w:val="0"/>
          <w:sz w:val="20"/>
          <w:szCs w:val="20"/>
        </w:rPr>
        <w:t>16 TAC § 25.181(f)</w:t>
      </w:r>
    </w:p>
    <w:p w14:paraId="2AF7EB28" w14:textId="77777777" w:rsidR="002F4BB8" w:rsidRPr="007B4321" w:rsidRDefault="00331BB3" w:rsidP="00F23389">
      <w:pPr>
        <w:pStyle w:val="FoFNumber"/>
      </w:pPr>
      <w:r w:rsidRPr="007B4321">
        <w:t>EPE’s incentive payments do not exceed 100% of avoided cost.</w:t>
      </w:r>
    </w:p>
    <w:p w14:paraId="0405355A" w14:textId="77777777" w:rsidR="002F4BB8" w:rsidRPr="007B4321" w:rsidRDefault="00331BB3" w:rsidP="003D44EC">
      <w:pPr>
        <w:pStyle w:val="TopicSubheading"/>
        <w:rPr>
          <w:rFonts w:eastAsia="Arial" w:cs="Arial"/>
          <w:szCs w:val="15"/>
        </w:rPr>
      </w:pPr>
      <w:r w:rsidRPr="007B4321">
        <w:t xml:space="preserve">Affiliate Costs </w:t>
      </w:r>
      <w:r w:rsidRPr="007B4321">
        <w:rPr>
          <w:b w:val="0"/>
          <w:sz w:val="20"/>
          <w:szCs w:val="20"/>
        </w:rPr>
        <w:t>PURA § 36.058, 16 TAC §§ 25.181(c)(1)(1), 25.181 (d)(10)(1) and 25.272(e)</w:t>
      </w:r>
    </w:p>
    <w:p w14:paraId="56DC6CAD" w14:textId="77777777" w:rsidR="002F4BB8" w:rsidRPr="007B4321" w:rsidRDefault="00331BB3" w:rsidP="00F23389">
      <w:pPr>
        <w:pStyle w:val="FoFNumber"/>
      </w:pPr>
      <w:r w:rsidRPr="007B4321">
        <w:t>EPE does not have any affiliates.</w:t>
      </w:r>
    </w:p>
    <w:p w14:paraId="6141FE6A" w14:textId="77777777" w:rsidR="002F4BB8" w:rsidRPr="007B4321" w:rsidRDefault="00331BB3" w:rsidP="003D44EC">
      <w:pPr>
        <w:pStyle w:val="TopicSubheading"/>
        <w:rPr>
          <w:rFonts w:ascii="Arial" w:eastAsia="Arial" w:hAnsi="Arial" w:cs="Arial"/>
          <w:sz w:val="15"/>
          <w:szCs w:val="15"/>
        </w:rPr>
      </w:pPr>
      <w:r w:rsidRPr="007B4321">
        <w:t xml:space="preserve">Energy-Efficiency Plan and Report </w:t>
      </w:r>
      <w:r w:rsidRPr="007B4321">
        <w:rPr>
          <w:b w:val="0"/>
          <w:sz w:val="20"/>
          <w:szCs w:val="20"/>
        </w:rPr>
        <w:t>16 TAC § 25.181(l)</w:t>
      </w:r>
    </w:p>
    <w:p w14:paraId="3BCA12FB" w14:textId="77777777" w:rsidR="002F4BB8" w:rsidRPr="007B4321" w:rsidRDefault="00331BB3" w:rsidP="00F23389">
      <w:pPr>
        <w:pStyle w:val="FoFNumber"/>
      </w:pPr>
      <w:r w:rsidRPr="007B4321">
        <w:t>On April 1, 2020, EPE filed its 2019 energy-efficiency plan and report.</w:t>
      </w:r>
    </w:p>
    <w:p w14:paraId="5247054B" w14:textId="77777777" w:rsidR="002F4BB8" w:rsidRPr="007B4321" w:rsidRDefault="00331BB3" w:rsidP="00F23389">
      <w:pPr>
        <w:pStyle w:val="FoFNumber"/>
      </w:pPr>
      <w:r w:rsidRPr="007B4321">
        <w:t xml:space="preserve">On July </w:t>
      </w:r>
      <w:r w:rsidR="00447E5B" w:rsidRPr="007B4321">
        <w:t>15</w:t>
      </w:r>
      <w:r w:rsidRPr="007B4321">
        <w:t>, 2020, EPE filed errata to its energy-efficiency plan and report.</w:t>
      </w:r>
    </w:p>
    <w:p w14:paraId="09A2ED7C" w14:textId="77777777" w:rsidR="002F4BB8" w:rsidRPr="007B4321" w:rsidRDefault="00331BB3" w:rsidP="003D44EC">
      <w:pPr>
        <w:pStyle w:val="TopicSubheading"/>
        <w:rPr>
          <w:rFonts w:ascii="Arial" w:eastAsia="Arial" w:hAnsi="Arial" w:cs="Arial"/>
          <w:sz w:val="15"/>
          <w:szCs w:val="15"/>
        </w:rPr>
      </w:pPr>
      <w:r w:rsidRPr="007B4321">
        <w:t xml:space="preserve">Low-Income Energy Efficiency </w:t>
      </w:r>
      <w:r w:rsidRPr="007B4321">
        <w:rPr>
          <w:b w:val="0"/>
          <w:sz w:val="20"/>
          <w:szCs w:val="20"/>
        </w:rPr>
        <w:t>16 TAC § 25.181(p)</w:t>
      </w:r>
    </w:p>
    <w:p w14:paraId="4A7D5C5A" w14:textId="77777777" w:rsidR="002F4BB8" w:rsidRPr="007B4321" w:rsidRDefault="00331BB3" w:rsidP="00F23389">
      <w:pPr>
        <w:pStyle w:val="FoFNumber"/>
      </w:pPr>
      <w:r w:rsidRPr="007B4321">
        <w:t>EPE is not an unbundled transmission and distribution utility.</w:t>
      </w:r>
    </w:p>
    <w:p w14:paraId="464CCC46" w14:textId="77777777" w:rsidR="002F4BB8" w:rsidRPr="007B4321" w:rsidRDefault="00331BB3" w:rsidP="00494933">
      <w:pPr>
        <w:pStyle w:val="TopicSubheading"/>
        <w:rPr>
          <w:rFonts w:ascii="Arial" w:eastAsia="Arial" w:hAnsi="Arial" w:cs="Arial"/>
          <w:sz w:val="15"/>
          <w:szCs w:val="15"/>
        </w:rPr>
      </w:pPr>
      <w:r w:rsidRPr="007B4321">
        <w:t>Outreach to Retail Electric Providers</w:t>
      </w:r>
      <w:r w:rsidRPr="007B4321">
        <w:rPr>
          <w:b w:val="0"/>
        </w:rPr>
        <w:t xml:space="preserve"> </w:t>
      </w:r>
      <w:r w:rsidRPr="007B4321">
        <w:rPr>
          <w:b w:val="0"/>
          <w:sz w:val="20"/>
          <w:szCs w:val="20"/>
        </w:rPr>
        <w:t>16 TAC § 25.181(r)</w:t>
      </w:r>
    </w:p>
    <w:p w14:paraId="0B4582A2" w14:textId="77777777" w:rsidR="002F4BB8" w:rsidRPr="007B4321" w:rsidRDefault="00331BB3" w:rsidP="00F23389">
      <w:pPr>
        <w:pStyle w:val="FoFNumber"/>
      </w:pPr>
      <w:r w:rsidRPr="007B4321">
        <w:t>EPE does not serve in an area in which customer choice is offered.</w:t>
      </w:r>
    </w:p>
    <w:p w14:paraId="04B1353B" w14:textId="77777777" w:rsidR="002F4BB8" w:rsidRPr="007B4321" w:rsidRDefault="00331BB3" w:rsidP="00494933">
      <w:pPr>
        <w:pStyle w:val="TopicSubheading"/>
        <w:rPr>
          <w:rFonts w:ascii="Arial" w:eastAsia="Arial" w:hAnsi="Arial" w:cs="Arial"/>
          <w:sz w:val="15"/>
          <w:szCs w:val="15"/>
        </w:rPr>
      </w:pPr>
      <w:r w:rsidRPr="007B4321">
        <w:lastRenderedPageBreak/>
        <w:t xml:space="preserve">Industrial Customer Exclusions </w:t>
      </w:r>
      <w:r w:rsidRPr="007B4321">
        <w:rPr>
          <w:b w:val="0"/>
          <w:sz w:val="20"/>
          <w:szCs w:val="20"/>
        </w:rPr>
        <w:t>16 TAC § 25.181(u)</w:t>
      </w:r>
    </w:p>
    <w:p w14:paraId="1D53CAA3" w14:textId="307734FF" w:rsidR="002F4BB8" w:rsidRPr="007B4321" w:rsidRDefault="00331BB3" w:rsidP="00F23389">
      <w:pPr>
        <w:pStyle w:val="FoFNumber"/>
      </w:pPr>
      <w:r w:rsidRPr="007B4321">
        <w:t>EPE’s industrial customers taking service at distribution voltage who elected to exclude themselves from EPE’s energy-efficiency programs and provided notices under 16 TAC § 25.181(u) constituted an exclusion of 0.0034 MW from the demand-reduction goal for EPE’s EECRF for program year 2021.  Those excluded customers have been reflected in the EECRF calculations.</w:t>
      </w:r>
    </w:p>
    <w:p w14:paraId="32919D84" w14:textId="77777777" w:rsidR="002F4BB8" w:rsidRPr="007B4321" w:rsidRDefault="00331BB3" w:rsidP="003D44EC">
      <w:pPr>
        <w:pStyle w:val="TopicSubheading"/>
        <w:rPr>
          <w:rFonts w:cs="Times New Roman"/>
          <w:szCs w:val="16"/>
        </w:rPr>
      </w:pPr>
      <w:r w:rsidRPr="007B4321">
        <w:t>Line Losses</w:t>
      </w:r>
      <w:r w:rsidRPr="007B4321">
        <w:rPr>
          <w:b w:val="0"/>
          <w:sz w:val="20"/>
          <w:szCs w:val="20"/>
        </w:rPr>
        <w:t xml:space="preserve"> 16 TAC §§ 25.181(e)(3)(B)</w:t>
      </w:r>
    </w:p>
    <w:p w14:paraId="1754A3AD" w14:textId="77777777" w:rsidR="002F4BB8" w:rsidRPr="009C2CDD" w:rsidRDefault="00331BB3" w:rsidP="00F23389">
      <w:pPr>
        <w:pStyle w:val="FoFNumber"/>
        <w:rPr>
          <w:sz w:val="16"/>
          <w:szCs w:val="16"/>
        </w:rPr>
      </w:pPr>
      <w:r w:rsidRPr="007B4321">
        <w:t>To calculate its annual growth in demand for calendar year 2017 to the present, EPE used an 8.32% line-loss factor approved by the Commission in EPE’s last fuel reconciliation proceeding, Docket No. 46308.</w:t>
      </w:r>
      <w:r w:rsidRPr="009C2CDD">
        <w:rPr>
          <w:rStyle w:val="FootnoteReference"/>
        </w:rPr>
        <w:footnoteReference w:id="3"/>
      </w:r>
    </w:p>
    <w:p w14:paraId="2517EBB5" w14:textId="77777777" w:rsidR="002F4BB8" w:rsidRPr="007B4321" w:rsidRDefault="00331BB3" w:rsidP="003D44EC">
      <w:pPr>
        <w:pStyle w:val="TopicSubheading"/>
        <w:rPr>
          <w:rFonts w:cs="Times New Roman"/>
          <w:szCs w:val="16"/>
        </w:rPr>
      </w:pPr>
      <w:r w:rsidRPr="007B4321">
        <w:t xml:space="preserve">Billing Determinants </w:t>
      </w:r>
      <w:r w:rsidRPr="007B4321">
        <w:rPr>
          <w:b w:val="0"/>
          <w:sz w:val="20"/>
          <w:szCs w:val="20"/>
        </w:rPr>
        <w:t>16 TAC § 25.182(d)(10)(E)</w:t>
      </w:r>
    </w:p>
    <w:p w14:paraId="21BA39A6" w14:textId="77777777" w:rsidR="002F4BB8" w:rsidRPr="007B4321" w:rsidRDefault="00331BB3" w:rsidP="00F23389">
      <w:pPr>
        <w:pStyle w:val="FoFNumber"/>
      </w:pPr>
      <w:r w:rsidRPr="007B4321">
        <w:t>The estimate of billing determinants in calculating EPE’s 2021 EECRF and the calculation of the 2021 EECRF tariff rider are reasonable.</w:t>
      </w:r>
    </w:p>
    <w:p w14:paraId="0042664E" w14:textId="77777777" w:rsidR="002F4BB8" w:rsidRPr="007B4321" w:rsidRDefault="00331BB3" w:rsidP="003D44EC">
      <w:pPr>
        <w:pStyle w:val="TopicSubheading"/>
        <w:rPr>
          <w:rFonts w:cs="Times New Roman"/>
          <w:szCs w:val="16"/>
        </w:rPr>
      </w:pPr>
      <w:r w:rsidRPr="007B4321">
        <w:t xml:space="preserve">Good Cause Exceptions </w:t>
      </w:r>
      <w:r w:rsidRPr="007B4321">
        <w:rPr>
          <w:b w:val="0"/>
          <w:sz w:val="20"/>
          <w:szCs w:val="20"/>
        </w:rPr>
        <w:t>16 TAC §§ 25.181(e)(2) and 25.182(d)(2)</w:t>
      </w:r>
    </w:p>
    <w:p w14:paraId="0E5B7F61" w14:textId="77777777" w:rsidR="002F4BB8" w:rsidRPr="007B4321" w:rsidRDefault="00331BB3" w:rsidP="00F23389">
      <w:pPr>
        <w:pStyle w:val="FoFNumber"/>
      </w:pPr>
      <w:r w:rsidRPr="007B4321">
        <w:t>EPE requested that the Commission establish a revised cost cap for its commercial classes under 16 TAC § 25.181(e)(2).</w:t>
      </w:r>
    </w:p>
    <w:p w14:paraId="673252D3" w14:textId="77777777" w:rsidR="002F4BB8" w:rsidRPr="007B4321" w:rsidRDefault="00331BB3" w:rsidP="00F23389">
      <w:pPr>
        <w:pStyle w:val="FoFNumber"/>
      </w:pPr>
      <w:r w:rsidRPr="007B4321">
        <w:t>If EPE’s energy-efficiency programs continue at the same level, the rates for the commercial customers will continue to exceed the cost cap for those customers.</w:t>
      </w:r>
    </w:p>
    <w:p w14:paraId="10A065C4" w14:textId="77777777" w:rsidR="002F4BB8" w:rsidRPr="007B4321" w:rsidRDefault="00331BB3" w:rsidP="00F23389">
      <w:pPr>
        <w:pStyle w:val="FoFNumber"/>
        <w:rPr>
          <w:rFonts w:eastAsia="Times New Roman" w:cs="Times New Roman"/>
          <w:szCs w:val="24"/>
        </w:rPr>
      </w:pPr>
      <w:r w:rsidRPr="007B4321">
        <w:t>EPE would have to reallocate funds to different programs that may not perform as well as current programs to stay within the cost cap for commercial customers.</w:t>
      </w:r>
    </w:p>
    <w:p w14:paraId="746CD895" w14:textId="77777777" w:rsidR="002F4BB8" w:rsidRPr="007B4321" w:rsidRDefault="00331BB3" w:rsidP="00F23389">
      <w:pPr>
        <w:pStyle w:val="FoFNumber"/>
        <w:rPr>
          <w:rFonts w:eastAsia="Times New Roman" w:cs="Times New Roman"/>
          <w:szCs w:val="24"/>
        </w:rPr>
      </w:pPr>
      <w:r w:rsidRPr="007B4321">
        <w:t>It is not in the best interests of EPE’s energy-efficiency programs or the affected customer classes to reallocate funds to programs that may not perform as well.</w:t>
      </w:r>
    </w:p>
    <w:p w14:paraId="0EBDB7CE" w14:textId="77777777" w:rsidR="002F4BB8" w:rsidRPr="007B4321" w:rsidRDefault="00331BB3" w:rsidP="00F23389">
      <w:pPr>
        <w:pStyle w:val="FoFNumber"/>
      </w:pPr>
      <w:r w:rsidRPr="007B4321">
        <w:t>EPE showed that attainment of the cost cap required by 16 TAC § 25.182(d)(7) is not reasonably possible, and good ·cause supports a higher EECRF cost cap for EPE’s commercial customers in program year 2021.</w:t>
      </w:r>
    </w:p>
    <w:p w14:paraId="1F410E10" w14:textId="77777777" w:rsidR="002F4BB8" w:rsidRPr="007B4321" w:rsidRDefault="00331BB3" w:rsidP="003D44EC">
      <w:pPr>
        <w:pStyle w:val="TopicSubheading"/>
        <w:rPr>
          <w:rFonts w:cs="Times New Roman"/>
          <w:sz w:val="16"/>
          <w:szCs w:val="16"/>
        </w:rPr>
      </w:pPr>
      <w:r w:rsidRPr="007B4321">
        <w:lastRenderedPageBreak/>
        <w:t xml:space="preserve">Informal Disposition </w:t>
      </w:r>
      <w:r w:rsidRPr="007B4321">
        <w:rPr>
          <w:b w:val="0"/>
          <w:sz w:val="20"/>
          <w:szCs w:val="20"/>
        </w:rPr>
        <w:t>16 TAC § 22.35(a)</w:t>
      </w:r>
    </w:p>
    <w:p w14:paraId="1DC54672" w14:textId="77777777" w:rsidR="002F4BB8" w:rsidRPr="007B4321" w:rsidRDefault="00331BB3" w:rsidP="00F23389">
      <w:pPr>
        <w:pStyle w:val="FoFNumber"/>
      </w:pPr>
      <w:r w:rsidRPr="007B4321">
        <w:t>More than 15 days have passed since completion of the notice provided in this docket.</w:t>
      </w:r>
    </w:p>
    <w:p w14:paraId="342C3398" w14:textId="77777777" w:rsidR="00732A70" w:rsidRPr="007B4321" w:rsidRDefault="00331BB3" w:rsidP="00F23389">
      <w:pPr>
        <w:pStyle w:val="FoFNumber"/>
        <w:rPr>
          <w:rFonts w:eastAsia="Times New Roman" w:cs="Times New Roman"/>
          <w:szCs w:val="24"/>
        </w:rPr>
      </w:pPr>
      <w:r w:rsidRPr="007B4321">
        <w:t>Commission Staff requested a hearing but effectively withdrew that request by executing the agreement.</w:t>
      </w:r>
    </w:p>
    <w:p w14:paraId="1EC42031" w14:textId="77777777" w:rsidR="002F4BB8" w:rsidRPr="007B4321" w:rsidRDefault="00331BB3" w:rsidP="00F23389">
      <w:pPr>
        <w:pStyle w:val="FoFNumber"/>
        <w:rPr>
          <w:rFonts w:eastAsia="Times New Roman" w:cs="Times New Roman"/>
          <w:szCs w:val="24"/>
        </w:rPr>
      </w:pPr>
      <w:r w:rsidRPr="007B4321">
        <w:t>No hearing is necessary.</w:t>
      </w:r>
    </w:p>
    <w:p w14:paraId="6513C6B3" w14:textId="1BAF1370" w:rsidR="002F4BB8" w:rsidRPr="007B4321" w:rsidRDefault="00331BB3" w:rsidP="00F23389">
      <w:pPr>
        <w:pStyle w:val="FoFNumber"/>
        <w:rPr>
          <w:rFonts w:eastAsia="Times New Roman" w:cs="Times New Roman"/>
          <w:szCs w:val="24"/>
        </w:rPr>
      </w:pPr>
      <w:r w:rsidRPr="007B4321">
        <w:t>The decision is not averse to any party.</w:t>
      </w:r>
    </w:p>
    <w:p w14:paraId="42BAA522" w14:textId="77777777" w:rsidR="002F4BB8" w:rsidRPr="007B4321" w:rsidRDefault="00331BB3" w:rsidP="00494933">
      <w:pPr>
        <w:pStyle w:val="Heading1"/>
        <w:rPr>
          <w:rFonts w:hAnsi="Times New Roman" w:cs="Times New Roman"/>
          <w:szCs w:val="21"/>
        </w:rPr>
      </w:pPr>
      <w:bookmarkStart w:id="3" w:name="Page_15"/>
      <w:bookmarkEnd w:id="3"/>
      <w:r w:rsidRPr="007B4321">
        <w:t>Conclusions of Law</w:t>
      </w:r>
    </w:p>
    <w:p w14:paraId="0D5DD69B" w14:textId="77777777" w:rsidR="002F4BB8" w:rsidRPr="007B4321" w:rsidRDefault="00331BB3">
      <w:pPr>
        <w:pStyle w:val="BodyText"/>
        <w:spacing w:before="134"/>
        <w:ind w:left="826" w:right="1256" w:firstLine="0"/>
      </w:pPr>
      <w:r w:rsidRPr="007B4321">
        <w:t>The Commission makes the following conclusions of law.</w:t>
      </w:r>
    </w:p>
    <w:p w14:paraId="63FEB633" w14:textId="77777777" w:rsidR="002F4BB8" w:rsidRPr="009C2CDD" w:rsidRDefault="00331BB3" w:rsidP="005C5434">
      <w:pPr>
        <w:pStyle w:val="CoLNumber"/>
      </w:pPr>
      <w:r w:rsidRPr="007B4321">
        <w:t>EPE is a public utility as that term is defined in PURA</w:t>
      </w:r>
      <w:r w:rsidRPr="009C2CDD">
        <w:rPr>
          <w:rStyle w:val="FootnoteReference"/>
        </w:rPr>
        <w:footnoteReference w:id="4"/>
      </w:r>
      <w:r w:rsidRPr="009C2CDD">
        <w:t xml:space="preserve"> § 11.004(1) and an electric utility as that term is defined in PURA § 31.002(6).</w:t>
      </w:r>
    </w:p>
    <w:p w14:paraId="3DA09DB7" w14:textId="77777777" w:rsidR="002F4BB8" w:rsidRPr="007B4321" w:rsidRDefault="00331BB3" w:rsidP="005C5434">
      <w:pPr>
        <w:pStyle w:val="CoLNumber"/>
      </w:pPr>
      <w:r w:rsidRPr="007B4321">
        <w:t>The Commission has jurisdiction over this matter under PURA §§ 14.001, 32.001, 36.001, 36.204, and 39.905.</w:t>
      </w:r>
    </w:p>
    <w:p w14:paraId="55CF517E" w14:textId="77777777" w:rsidR="002F4BB8" w:rsidRPr="007B4321" w:rsidRDefault="00331BB3" w:rsidP="005C5434">
      <w:pPr>
        <w:pStyle w:val="CoLNumber"/>
      </w:pPr>
      <w:r w:rsidRPr="007B4321">
        <w:t>Under PURA § 39.905 and 16 TAC § 25.182(d)(8), an electric utility may file for an EECRF.</w:t>
      </w:r>
    </w:p>
    <w:p w14:paraId="0D762AB7" w14:textId="77777777" w:rsidR="002F4BB8" w:rsidRPr="007B4321" w:rsidRDefault="00331BB3" w:rsidP="005C5434">
      <w:pPr>
        <w:pStyle w:val="CoLNumber"/>
      </w:pPr>
      <w:r w:rsidRPr="007B4321">
        <w:t>EPE complied with the requirement under 16 TAC § 25.182(d)(8) to apply by May 1 to adjust its EECRF effective January 1 of the following year.</w:t>
      </w:r>
    </w:p>
    <w:p w14:paraId="09515D17" w14:textId="77777777" w:rsidR="002F4BB8" w:rsidRPr="009C2CDD" w:rsidRDefault="00331BB3" w:rsidP="005C5434">
      <w:pPr>
        <w:pStyle w:val="CoLNumber"/>
      </w:pPr>
      <w:r w:rsidRPr="007B4321">
        <w:t>The Commission processed the application in accordance with the requirements of PURA, the Administrative Procedure Act,</w:t>
      </w:r>
      <w:r w:rsidRPr="009C2CDD">
        <w:rPr>
          <w:rStyle w:val="FootnoteReference"/>
        </w:rPr>
        <w:footnoteReference w:id="5"/>
      </w:r>
      <w:r w:rsidRPr="009C2CDD">
        <w:t xml:space="preserve"> and Commission rules.</w:t>
      </w:r>
    </w:p>
    <w:p w14:paraId="116CEE16" w14:textId="77777777" w:rsidR="002F4BB8" w:rsidRPr="007B4321" w:rsidRDefault="00331BB3" w:rsidP="005C5434">
      <w:pPr>
        <w:pStyle w:val="CoLNumber"/>
      </w:pPr>
      <w:r w:rsidRPr="007B4321">
        <w:t xml:space="preserve">SOAH exercised jurisdiction over this proceeding in accordance with PURA § 14.053 and Texas Government Code </w:t>
      </w:r>
      <w:r w:rsidRPr="007B4321">
        <w:rPr>
          <w:szCs w:val="24"/>
        </w:rPr>
        <w:t xml:space="preserve">§ </w:t>
      </w:r>
      <w:r w:rsidRPr="007B4321">
        <w:t>2003.049.</w:t>
      </w:r>
    </w:p>
    <w:p w14:paraId="1AF67459" w14:textId="77777777" w:rsidR="002F4BB8" w:rsidRPr="007B4321" w:rsidRDefault="00331BB3" w:rsidP="005C5434">
      <w:pPr>
        <w:pStyle w:val="CoLNumber"/>
      </w:pPr>
      <w:r w:rsidRPr="007B4321">
        <w:t>EPE provided notice of the application in accordance with 16 TAC § 25.182(d)(13) and 16 TAC § 22.55 and filed an affidavit attesting to the completion of notice as required by 16 TAC § 25.182(d)(14).</w:t>
      </w:r>
    </w:p>
    <w:p w14:paraId="7BDA3034" w14:textId="77777777" w:rsidR="002F4BB8" w:rsidRPr="007B4321" w:rsidRDefault="00331BB3" w:rsidP="005C5434">
      <w:pPr>
        <w:pStyle w:val="CoLNumber"/>
      </w:pPr>
      <w:r w:rsidRPr="007B4321">
        <w:t>EPE’s application is sufficient under 16 TAC § 25.182(d)(10) and (11).</w:t>
      </w:r>
    </w:p>
    <w:p w14:paraId="7C782BBB" w14:textId="77777777" w:rsidR="002F4BB8" w:rsidRPr="007B4321" w:rsidRDefault="00331BB3" w:rsidP="005C5434">
      <w:pPr>
        <w:pStyle w:val="CoLNumber"/>
      </w:pPr>
      <w:r w:rsidRPr="007B4321">
        <w:lastRenderedPageBreak/>
        <w:t>The hearing on the merits was set and notice of the hearing was given in compliance with Texas Government Code §§ 2001.051 and 2001.052.</w:t>
      </w:r>
    </w:p>
    <w:p w14:paraId="2932940E" w14:textId="77777777" w:rsidR="002F4BB8" w:rsidRPr="007B4321" w:rsidRDefault="00331BB3" w:rsidP="005C5434">
      <w:pPr>
        <w:pStyle w:val="CoLNumber"/>
      </w:pPr>
      <w:r w:rsidRPr="007B4321">
        <w:t>EPE calculated its weather-adjusted average annual growth in demand in compliance with 16 TAC § 25.181(e)(3).</w:t>
      </w:r>
    </w:p>
    <w:p w14:paraId="14669EF3" w14:textId="77777777" w:rsidR="002F4BB8" w:rsidRPr="007B4321" w:rsidRDefault="00331BB3" w:rsidP="00BF142A">
      <w:pPr>
        <w:pStyle w:val="CoLNumber"/>
        <w:rPr>
          <w:szCs w:val="24"/>
        </w:rPr>
      </w:pPr>
      <w:r w:rsidRPr="007B4321">
        <w:rPr>
          <w:szCs w:val="24"/>
        </w:rPr>
        <w:t>EPE has acquired a reduction of four-tenths of 1</w:t>
      </w:r>
      <w:r w:rsidRPr="007B4321">
        <w:rPr>
          <w:rFonts w:ascii="Arial"/>
          <w:szCs w:val="24"/>
        </w:rPr>
        <w:t xml:space="preserve">% </w:t>
      </w:r>
      <w:r w:rsidRPr="007B4321">
        <w:rPr>
          <w:szCs w:val="24"/>
        </w:rPr>
        <w:t>of its summer weather-adjusted peak demand of residential and commercial customers in compliance with 16 TAC § 25.181(e)(l)(B), (e)(l)(C), (e)(l)(D), and (e)(3)(B).</w:t>
      </w:r>
    </w:p>
    <w:p w14:paraId="3FEC9D27" w14:textId="77777777" w:rsidR="002F4BB8" w:rsidRPr="007B4321" w:rsidRDefault="00331BB3" w:rsidP="00E659B4">
      <w:pPr>
        <w:pStyle w:val="CoLNumber"/>
        <w:rPr>
          <w:rFonts w:eastAsia="Times New Roman" w:cs="Times New Roman"/>
          <w:szCs w:val="24"/>
        </w:rPr>
      </w:pPr>
      <w:r w:rsidRPr="007B4321">
        <w:t xml:space="preserve">EPE’s minimum energy-savings goal was calculated in compliance with 16 TAC </w:t>
      </w:r>
      <w:r w:rsidRPr="007B4321">
        <w:rPr>
          <w:rFonts w:eastAsia="Times New Roman" w:cs="Times New Roman"/>
          <w:szCs w:val="24"/>
        </w:rPr>
        <w:t>§ 25.181(e)(4).</w:t>
      </w:r>
    </w:p>
    <w:p w14:paraId="7355C8F1" w14:textId="77777777" w:rsidR="002F4BB8" w:rsidRPr="007B4321" w:rsidRDefault="00331BB3" w:rsidP="00460EB7">
      <w:pPr>
        <w:pStyle w:val="CoLNumber"/>
        <w:rPr>
          <w:rFonts w:eastAsia="Times New Roman" w:cs="Times New Roman"/>
          <w:szCs w:val="24"/>
        </w:rPr>
      </w:pPr>
      <w:r w:rsidRPr="007B4321">
        <w:t xml:space="preserve">EPE’s portfolio of energy-efficiency programs effectively and efficiently achieves the goals set out in PURA § 39.905(a) and 16 TAC § 25.181 as required by 16 TAC </w:t>
      </w:r>
      <w:r w:rsidRPr="007B4321">
        <w:rPr>
          <w:rFonts w:eastAsia="Times New Roman" w:cs="Times New Roman"/>
          <w:szCs w:val="24"/>
        </w:rPr>
        <w:t>§ 25.181(e)(5).</w:t>
      </w:r>
    </w:p>
    <w:p w14:paraId="3D0AB558" w14:textId="77777777" w:rsidR="002F4BB8" w:rsidRPr="007B4321" w:rsidRDefault="00331BB3" w:rsidP="005C5434">
      <w:pPr>
        <w:pStyle w:val="CoLNumber"/>
      </w:pPr>
      <w:r w:rsidRPr="007B4321">
        <w:t>EPE’s proposed EECRF rate for residential customers complies with the requirements for cost caps under 16 TAC § 25.182(d)(7).</w:t>
      </w:r>
    </w:p>
    <w:p w14:paraId="5EDBCB1B" w14:textId="77777777" w:rsidR="002F4BB8" w:rsidRPr="007B4321" w:rsidRDefault="00331BB3" w:rsidP="00E766A1">
      <w:pPr>
        <w:pStyle w:val="CoLNumber"/>
        <w:rPr>
          <w:rFonts w:eastAsia="Times New Roman" w:cs="Times New Roman"/>
          <w:szCs w:val="24"/>
        </w:rPr>
      </w:pPr>
      <w:r w:rsidRPr="007B4321">
        <w:t xml:space="preserve">Under 16 TAC § 25.181(e)(2), there is good cause to grant EPE’s request for an exception to the cap on the rates it can charge its commercial customers under 16 TAC </w:t>
      </w:r>
      <w:r w:rsidRPr="007B4321">
        <w:rPr>
          <w:rFonts w:eastAsia="Times New Roman" w:cs="Times New Roman"/>
          <w:szCs w:val="24"/>
        </w:rPr>
        <w:t>§ 25.182(d)(7)(C) to recover costs related to its 2020 energy-efficiency programs.</w:t>
      </w:r>
    </w:p>
    <w:p w14:paraId="310BB85B" w14:textId="77777777" w:rsidR="002F4BB8" w:rsidRPr="007B4321" w:rsidRDefault="00331BB3" w:rsidP="005C5434">
      <w:pPr>
        <w:pStyle w:val="CoLNumber"/>
      </w:pPr>
      <w:r w:rsidRPr="007B4321">
        <w:t>Under 16 TAC § 25.182(d)(2), there is good cause to combine EPE’s cotton gin rate class with its cogeneration rate class in 2020.</w:t>
      </w:r>
    </w:p>
    <w:p w14:paraId="29AC43F7" w14:textId="77777777" w:rsidR="002F4BB8" w:rsidRPr="007B4321" w:rsidRDefault="00331BB3" w:rsidP="005C5434">
      <w:pPr>
        <w:pStyle w:val="CoLNumber"/>
      </w:pPr>
      <w:r w:rsidRPr="007B4321">
        <w:t>EPE’ s request to impose a true-up adjustment, by rate class, of EPE’s net under-recovery for 2019 of $2,455 of program year 2019 energy-efficiency costs complies with PURA § 39.905(b-1) and 16 TAC § 25.182(d)(l )(A) and (d)(2).</w:t>
      </w:r>
    </w:p>
    <w:p w14:paraId="50B82A74" w14:textId="77777777" w:rsidR="002F4BB8" w:rsidRPr="007B4321" w:rsidRDefault="00331BB3" w:rsidP="005C5434">
      <w:pPr>
        <w:pStyle w:val="CoLNumber"/>
        <w:rPr>
          <w:rFonts w:eastAsia="Times New Roman" w:cs="Times New Roman"/>
          <w:szCs w:val="24"/>
        </w:rPr>
      </w:pPr>
      <w:r w:rsidRPr="007B4321">
        <w:t>EECRF proceeding expenses are rate-case expenses.</w:t>
      </w:r>
    </w:p>
    <w:p w14:paraId="4441882C" w14:textId="77777777" w:rsidR="002F4BB8" w:rsidRPr="007B4321" w:rsidRDefault="00331BB3" w:rsidP="005C5434">
      <w:pPr>
        <w:pStyle w:val="CoLNumber"/>
      </w:pPr>
      <w:r w:rsidRPr="007B4321">
        <w:t>The requirements of 16 TAC §§ 25.182(d)(3)(A) and 25.245 apply to the recovery of EECRF proceeding expenses.</w:t>
      </w:r>
    </w:p>
    <w:p w14:paraId="2111C645" w14:textId="4ABCE361" w:rsidR="002F4BB8" w:rsidRPr="007B4321" w:rsidRDefault="00331BB3" w:rsidP="005C5434">
      <w:pPr>
        <w:pStyle w:val="CoLNumber"/>
      </w:pPr>
      <w:r w:rsidRPr="007B4321">
        <w:t>EPE’s 2019 rate-case expenses of $46,36</w:t>
      </w:r>
      <w:r w:rsidR="004D5AE1" w:rsidRPr="007B4321">
        <w:t>4</w:t>
      </w:r>
      <w:r w:rsidRPr="007B4321">
        <w:t xml:space="preserve"> comply with PURA § 36.061(b)(2) and 16 TAC §§ 25.182(d)(3)(A) and 25.245.</w:t>
      </w:r>
    </w:p>
    <w:p w14:paraId="41F00714" w14:textId="4A9AAA06" w:rsidR="002F4BB8" w:rsidRPr="007B4321" w:rsidRDefault="00331BB3" w:rsidP="005C5434">
      <w:pPr>
        <w:pStyle w:val="CoLNumber"/>
      </w:pPr>
      <w:r w:rsidRPr="007B4321">
        <w:lastRenderedPageBreak/>
        <w:t>The City of El Paso’s 2019 rate-case expenses of $10,277 comply with PURA § 33.023(a) and 16 TAC §§ 25.182(d)(3)(B) and 25.245.</w:t>
      </w:r>
    </w:p>
    <w:p w14:paraId="304C6514" w14:textId="77777777" w:rsidR="002F4BB8" w:rsidRPr="007B4321" w:rsidRDefault="00331BB3" w:rsidP="005C5434">
      <w:pPr>
        <w:pStyle w:val="CoLNumber"/>
      </w:pPr>
      <w:r w:rsidRPr="007B4321">
        <w:t>EPE qualified for and accurately calculated its energy-efficiency performance bonus of $1,175,558 for its energy-efficiency achievements in program year 2019 as allowed by PURA § 39.905(b)(2) and in compliance with 16 TAC § 25.182(e).</w:t>
      </w:r>
    </w:p>
    <w:p w14:paraId="7DCE8FCC" w14:textId="77777777" w:rsidR="002F4BB8" w:rsidRPr="007B4321" w:rsidRDefault="00331BB3" w:rsidP="005C5434">
      <w:pPr>
        <w:pStyle w:val="CoLNumber"/>
      </w:pPr>
      <w:r w:rsidRPr="007B4321">
        <w:t>The amounts and allocation of EPE’s administration and research and development costs comply with 16 TAC § 25.181(g).</w:t>
      </w:r>
    </w:p>
    <w:p w14:paraId="786F75A6" w14:textId="77777777" w:rsidR="002F4BB8" w:rsidRPr="007B4321" w:rsidRDefault="00331BB3" w:rsidP="006955C0">
      <w:pPr>
        <w:pStyle w:val="CoLNumber"/>
      </w:pPr>
      <w:r w:rsidRPr="007B4321">
        <w:t>EPE’s energy-efficiency programs adhere to the cost-effectiveness standards contained in 16 TAC § 25.181(d).</w:t>
      </w:r>
    </w:p>
    <w:p w14:paraId="67015AE9" w14:textId="268978BF" w:rsidR="002F4BB8" w:rsidRPr="007B4321" w:rsidRDefault="00331BB3" w:rsidP="005C5434">
      <w:pPr>
        <w:pStyle w:val="CoLNumber"/>
      </w:pPr>
      <w:r w:rsidRPr="007B4321">
        <w:t>EPE’s 202</w:t>
      </w:r>
      <w:r w:rsidR="00A34F89" w:rsidRPr="007B4321">
        <w:t>1</w:t>
      </w:r>
      <w:r w:rsidRPr="007B4321">
        <w:t xml:space="preserve"> energy-efficiency program costs of $4,685,552, not including EM&amp;V expenses to be collected in 2021, to be recovered through the EECRF are reasonable estimates of the costs necessary to provide energy-efficiency programs in 2021 under PURA § 39.905 and 16 TAC § 25.182(d)(l ).</w:t>
      </w:r>
    </w:p>
    <w:p w14:paraId="3A09955B" w14:textId="77777777" w:rsidR="002F4BB8" w:rsidRPr="007B4321" w:rsidRDefault="00331BB3" w:rsidP="005C5434">
      <w:pPr>
        <w:pStyle w:val="CoLNumber"/>
      </w:pPr>
      <w:r w:rsidRPr="007B4321">
        <w:t>EPE’s cost recovery of $1,292,032 which consists of EM&amp;V expenses to be recovered in 2021, EPE’s refund of its net under-recovery of program year 2019 energy-efficiency costs, EPE’s performance bonus earned in 2019, EPE’s rate-case expenses incurred in Docket No. 49496, and the City of El Paso’s rate-case expenses incurred in Docket No. 49496 complies with PURA § 39.905 and 16 TAC § 25.182(d)(l).</w:t>
      </w:r>
    </w:p>
    <w:p w14:paraId="1CB38F70" w14:textId="77777777" w:rsidR="002F4BB8" w:rsidRPr="007B4321" w:rsidRDefault="00331BB3" w:rsidP="005C5434">
      <w:pPr>
        <w:pStyle w:val="CoLNumber"/>
      </w:pPr>
      <w:r w:rsidRPr="007B4321">
        <w:t>EPE’s proposed combination of the cotton gin rate class with the cogeneration rate class in program year 2021 complies with 16 TAC § 25.182(d)(2).</w:t>
      </w:r>
    </w:p>
    <w:p w14:paraId="2F928B30" w14:textId="77777777" w:rsidR="002F4BB8" w:rsidRPr="007B4321" w:rsidRDefault="00331BB3" w:rsidP="005C5434">
      <w:pPr>
        <w:pStyle w:val="CoLNumber"/>
        <w:rPr>
          <w:szCs w:val="24"/>
        </w:rPr>
      </w:pPr>
      <w:r w:rsidRPr="007B4321">
        <w:t xml:space="preserve">The assignments and allocations of EPE’s proposed 2021 EECRF rates to each rate </w:t>
      </w:r>
      <w:r w:rsidRPr="007B4321">
        <w:rPr>
          <w:szCs w:val="24"/>
        </w:rPr>
        <w:t>class are reasonable and comply with PURA § 39.905(b)(4) and 16 TAC § 25.182(d)(2).</w:t>
      </w:r>
    </w:p>
    <w:p w14:paraId="23F27F90" w14:textId="77777777" w:rsidR="002F4BB8" w:rsidRPr="007B4321" w:rsidRDefault="00331BB3" w:rsidP="005C5434">
      <w:pPr>
        <w:pStyle w:val="CoLNumber"/>
        <w:rPr>
          <w:szCs w:val="24"/>
        </w:rPr>
      </w:pPr>
      <w:r w:rsidRPr="007B4321">
        <w:rPr>
          <w:szCs w:val="24"/>
        </w:rPr>
        <w:t>EPE has adopted measures to foster competition among energy-efficiency service providers in compliance with 16 TAC § 25.181(g)(2).</w:t>
      </w:r>
    </w:p>
    <w:p w14:paraId="291489F6" w14:textId="77777777" w:rsidR="002F4BB8" w:rsidRPr="007B4321" w:rsidRDefault="00331BB3" w:rsidP="005C5434">
      <w:pPr>
        <w:pStyle w:val="CoLNumber"/>
        <w:rPr>
          <w:szCs w:val="24"/>
        </w:rPr>
      </w:pPr>
      <w:r w:rsidRPr="007B4321">
        <w:rPr>
          <w:szCs w:val="24"/>
        </w:rPr>
        <w:t>EPE’s standard offer and market transformation programs comply with PURA § 39.905(a)(3) and 16 TAC § 25.181(h) through (k).</w:t>
      </w:r>
    </w:p>
    <w:p w14:paraId="13FD6342" w14:textId="77777777" w:rsidR="002F4BB8" w:rsidRPr="007B4321" w:rsidRDefault="00331BB3" w:rsidP="005C5434">
      <w:pPr>
        <w:pStyle w:val="CoLNumber"/>
        <w:rPr>
          <w:szCs w:val="24"/>
        </w:rPr>
      </w:pPr>
      <w:r w:rsidRPr="007B4321">
        <w:rPr>
          <w:szCs w:val="24"/>
        </w:rPr>
        <w:t>EPE’s incentive payments, which did not exceed 100% of avoided cost, comply with 16 TAC § 25.181(f).</w:t>
      </w:r>
    </w:p>
    <w:p w14:paraId="7AD599FD" w14:textId="77777777" w:rsidR="002F4BB8" w:rsidRPr="007B4321" w:rsidRDefault="00331BB3" w:rsidP="005C5434">
      <w:pPr>
        <w:pStyle w:val="CoLNumber"/>
        <w:rPr>
          <w:szCs w:val="24"/>
        </w:rPr>
      </w:pPr>
      <w:r w:rsidRPr="007B4321">
        <w:rPr>
          <w:szCs w:val="24"/>
        </w:rPr>
        <w:lastRenderedPageBreak/>
        <w:t>EPE’s load associated with industrial customers who provided qualifying identification notices were excluded from EPE’s calculated demand-reduction goal in accordance with 16 TAC § 25.181(u).</w:t>
      </w:r>
    </w:p>
    <w:p w14:paraId="6F8175E5" w14:textId="77777777" w:rsidR="002F4BB8" w:rsidRPr="007B4321" w:rsidRDefault="00331BB3" w:rsidP="005C5434">
      <w:pPr>
        <w:pStyle w:val="CoLNumber"/>
        <w:rPr>
          <w:szCs w:val="24"/>
        </w:rPr>
      </w:pPr>
      <w:r w:rsidRPr="007B4321">
        <w:rPr>
          <w:szCs w:val="24"/>
        </w:rPr>
        <w:t>EPE’s proposed 2021 EECRF rates are just and reasonable under PURA § 36.003(a).</w:t>
      </w:r>
    </w:p>
    <w:p w14:paraId="5494BD1D" w14:textId="77777777" w:rsidR="002F4BB8" w:rsidRPr="007B4321" w:rsidRDefault="00331BB3" w:rsidP="005C5434">
      <w:pPr>
        <w:pStyle w:val="CoLNumber"/>
        <w:rPr>
          <w:szCs w:val="24"/>
        </w:rPr>
      </w:pPr>
      <w:r w:rsidRPr="007B4321">
        <w:rPr>
          <w:szCs w:val="24"/>
        </w:rPr>
        <w:t>In accordance with PURA § 36.003(b), EPE’s proposed 2021 EECRF rates are not unreasonably preferential, prejudicial, or discriminatory and are sufficient, equitable, and consistent in application to each consumer class.</w:t>
      </w:r>
    </w:p>
    <w:p w14:paraId="6927E32A" w14:textId="77777777" w:rsidR="002F4BB8" w:rsidRPr="007B4321" w:rsidRDefault="00331BB3" w:rsidP="005C5434">
      <w:pPr>
        <w:pStyle w:val="CoLNumber"/>
        <w:rPr>
          <w:szCs w:val="24"/>
        </w:rPr>
      </w:pPr>
      <w:r w:rsidRPr="007B4321">
        <w:rPr>
          <w:szCs w:val="24"/>
        </w:rPr>
        <w:t>The requirements for informal disposition under 16 TAC § 22.35 have been met in this proceeding.</w:t>
      </w:r>
    </w:p>
    <w:p w14:paraId="3A42B619" w14:textId="77777777" w:rsidR="002F4BB8" w:rsidRPr="007B4321" w:rsidRDefault="00331BB3" w:rsidP="00494933">
      <w:pPr>
        <w:pStyle w:val="Heading1"/>
        <w:rPr>
          <w:rFonts w:hAnsi="Times New Roman" w:cs="Times New Roman"/>
        </w:rPr>
      </w:pPr>
      <w:r w:rsidRPr="007B4321">
        <w:t>Ordering Paragraphs</w:t>
      </w:r>
    </w:p>
    <w:p w14:paraId="2C50AFE1" w14:textId="77777777" w:rsidR="002F4BB8" w:rsidRPr="007B4321" w:rsidRDefault="00331BB3" w:rsidP="006955C0">
      <w:pPr>
        <w:pStyle w:val="BodyText"/>
      </w:pPr>
      <w:r w:rsidRPr="007B4321">
        <w:t>In accordance with these findings of fact and conclusions of law, the Commission issues the following orders:</w:t>
      </w:r>
    </w:p>
    <w:p w14:paraId="2E781990" w14:textId="6E28DE42" w:rsidR="002F4BB8" w:rsidRPr="007B4321" w:rsidRDefault="00331BB3" w:rsidP="005C5434">
      <w:pPr>
        <w:pStyle w:val="OPNumber"/>
        <w:rPr>
          <w:w w:val="100"/>
          <w:szCs w:val="24"/>
        </w:rPr>
      </w:pPr>
      <w:r w:rsidRPr="007B4321">
        <w:rPr>
          <w:w w:val="100"/>
          <w:szCs w:val="24"/>
        </w:rPr>
        <w:t>The Commission approves EPE’s 2020 EECRF in the amount of $5,</w:t>
      </w:r>
      <w:r w:rsidR="00447E5B" w:rsidRPr="007B4321">
        <w:rPr>
          <w:w w:val="100"/>
          <w:szCs w:val="24"/>
        </w:rPr>
        <w:t>902,584</w:t>
      </w:r>
      <w:r w:rsidRPr="007B4321">
        <w:rPr>
          <w:w w:val="100"/>
          <w:szCs w:val="24"/>
        </w:rPr>
        <w:t>, which is composed of the following:  (a) EPE’s forecasted energy-efficiency costs of $4,685,552 in program year 2021; (b) projected EM&amp;V expenses in the amount of $57,378 for program year 2021; (c) an adjustment of $2,455 for EPE’s net under-recovery, of program year 2019 energy-</w:t>
      </w:r>
      <w:r w:rsidRPr="007B4321">
        <w:rPr>
          <w:w w:val="100"/>
        </w:rPr>
        <w:t>efficiency</w:t>
      </w:r>
      <w:r w:rsidRPr="007B4321">
        <w:rPr>
          <w:w w:val="100"/>
          <w:szCs w:val="24"/>
        </w:rPr>
        <w:t xml:space="preserve"> costs; (d) rate-case expenses in the amount of $56,641 ($46,36</w:t>
      </w:r>
      <w:r w:rsidR="00A34F89" w:rsidRPr="007B4321">
        <w:rPr>
          <w:w w:val="100"/>
          <w:szCs w:val="24"/>
        </w:rPr>
        <w:t>4</w:t>
      </w:r>
      <w:r w:rsidRPr="007B4321">
        <w:rPr>
          <w:w w:val="100"/>
          <w:szCs w:val="24"/>
        </w:rPr>
        <w:t xml:space="preserve"> for EPE and $10,2</w:t>
      </w:r>
      <w:r w:rsidR="00A34F89" w:rsidRPr="007B4321">
        <w:rPr>
          <w:w w:val="100"/>
          <w:szCs w:val="24"/>
        </w:rPr>
        <w:t>77</w:t>
      </w:r>
      <w:r w:rsidRPr="007B4321">
        <w:rPr>
          <w:w w:val="100"/>
          <w:szCs w:val="24"/>
        </w:rPr>
        <w:t xml:space="preserve"> for the City of El Paso) for participation in Docket No. 49896, EPE’s 2019 EECRF proceeding;  (e) a performance bonus of $1,175,558; and (f) a reduction of the residential class’s EECRF revenue requirement in the amount of $75,000</w:t>
      </w:r>
      <w:r w:rsidR="00DE542A" w:rsidRPr="007B4321">
        <w:rPr>
          <w:w w:val="100"/>
        </w:rPr>
        <w:t>, which will be a permanent reduction to EPE's true-up of its cost for its 2019 residential programs</w:t>
      </w:r>
      <w:r w:rsidRPr="007B4321">
        <w:rPr>
          <w:w w:val="100"/>
          <w:szCs w:val="24"/>
        </w:rPr>
        <w:t>.</w:t>
      </w:r>
    </w:p>
    <w:p w14:paraId="50798673" w14:textId="77777777" w:rsidR="002F4BB8" w:rsidRPr="007B4321" w:rsidRDefault="00331BB3" w:rsidP="005C5434">
      <w:pPr>
        <w:pStyle w:val="OPNumber"/>
        <w:rPr>
          <w:w w:val="100"/>
          <w:szCs w:val="24"/>
        </w:rPr>
      </w:pPr>
      <w:r w:rsidRPr="007B4321">
        <w:rPr>
          <w:w w:val="100"/>
          <w:szCs w:val="24"/>
        </w:rPr>
        <w:t>The Commission approves the schedule of rates for EPE’s EECRF tariff that are in exhibits A and B attached to the agreement.</w:t>
      </w:r>
    </w:p>
    <w:p w14:paraId="6127BB26" w14:textId="77777777" w:rsidR="002F4BB8" w:rsidRPr="007B4321" w:rsidRDefault="00331BB3" w:rsidP="005C5434">
      <w:pPr>
        <w:pStyle w:val="OPNumber"/>
        <w:rPr>
          <w:w w:val="100"/>
          <w:szCs w:val="24"/>
        </w:rPr>
      </w:pPr>
      <w:r w:rsidRPr="007B4321">
        <w:rPr>
          <w:w w:val="100"/>
          <w:szCs w:val="24"/>
        </w:rPr>
        <w:t>EPE is authorized to apply the EECRF tariff rider approved by this Order beginning on and after January 1, 2021.</w:t>
      </w:r>
    </w:p>
    <w:p w14:paraId="4C4384AF" w14:textId="77777777" w:rsidR="002F4BB8" w:rsidRPr="007B4321" w:rsidRDefault="00331BB3" w:rsidP="005C5434">
      <w:pPr>
        <w:pStyle w:val="OPNumber"/>
        <w:rPr>
          <w:w w:val="100"/>
          <w:szCs w:val="24"/>
        </w:rPr>
      </w:pPr>
      <w:r w:rsidRPr="007B4321">
        <w:rPr>
          <w:w w:val="100"/>
          <w:szCs w:val="24"/>
        </w:rPr>
        <w:t xml:space="preserve">Within ten days of the date of this Order, EPE must provide a clean copy of the EECRF tariff approved by this Order to central records to be marked </w:t>
      </w:r>
      <w:r w:rsidRPr="007B4321">
        <w:rPr>
          <w:i/>
          <w:w w:val="100"/>
          <w:szCs w:val="24"/>
        </w:rPr>
        <w:t xml:space="preserve">Approved </w:t>
      </w:r>
      <w:r w:rsidRPr="007B4321">
        <w:rPr>
          <w:w w:val="100"/>
          <w:szCs w:val="24"/>
        </w:rPr>
        <w:t>and filed in the Commission’s tariff books.</w:t>
      </w:r>
    </w:p>
    <w:p w14:paraId="55460C48" w14:textId="77777777" w:rsidR="002F4BB8" w:rsidRPr="007B4321" w:rsidRDefault="00331BB3" w:rsidP="005C5434">
      <w:pPr>
        <w:pStyle w:val="OPNumber"/>
        <w:rPr>
          <w:w w:val="100"/>
          <w:szCs w:val="24"/>
        </w:rPr>
      </w:pPr>
      <w:r w:rsidRPr="007B4321">
        <w:rPr>
          <w:w w:val="100"/>
          <w:szCs w:val="24"/>
        </w:rPr>
        <w:lastRenderedPageBreak/>
        <w:t>Entry of this Order does not indicate the Commission’s endorsement or approval of any principle or methodology that underlies the agreement and must not be regarded as precedential as to the appropriateness of any principle or methodology underlying the agreement.</w:t>
      </w:r>
    </w:p>
    <w:p w14:paraId="7B5216C5" w14:textId="77777777" w:rsidR="002F4BB8" w:rsidRPr="007B4321" w:rsidRDefault="00331BB3" w:rsidP="005C5434">
      <w:pPr>
        <w:pStyle w:val="OPNumber"/>
        <w:rPr>
          <w:w w:val="100"/>
          <w:szCs w:val="24"/>
        </w:rPr>
      </w:pPr>
      <w:r w:rsidRPr="007B4321">
        <w:rPr>
          <w:w w:val="100"/>
          <w:szCs w:val="24"/>
        </w:rPr>
        <w:t>The Commission denies all other motions and any other requests for general or specific relief that have not been expressly granted.</w:t>
      </w:r>
    </w:p>
    <w:p w14:paraId="174083FF" w14:textId="77777777" w:rsidR="00E84086" w:rsidRPr="007B4321" w:rsidRDefault="00F90638" w:rsidP="00E84086"/>
    <w:p w14:paraId="21148E01" w14:textId="7CBEC612" w:rsidR="00E84086" w:rsidRPr="007B4321" w:rsidRDefault="00331BB3" w:rsidP="00E84086">
      <w:r w:rsidRPr="007B4321">
        <w:rPr>
          <w:b/>
        </w:rPr>
        <w:t xml:space="preserve">Signed at Austin, Texas the _____ day </w:t>
      </w:r>
      <w:r w:rsidR="00455721" w:rsidRPr="007B4321">
        <w:rPr>
          <w:b/>
        </w:rPr>
        <w:t>of September</w:t>
      </w:r>
      <w:r w:rsidRPr="007B4321">
        <w:rPr>
          <w:b/>
        </w:rPr>
        <w:t xml:space="preserve"> 2020</w:t>
      </w:r>
      <w:r w:rsidRPr="007B4321">
        <w:t>.</w:t>
      </w:r>
    </w:p>
    <w:p w14:paraId="2C9870F7" w14:textId="77777777" w:rsidR="006955C0" w:rsidRPr="007B4321" w:rsidRDefault="00F90638" w:rsidP="00E84086"/>
    <w:p w14:paraId="6F327AD6" w14:textId="77777777" w:rsidR="00E84086" w:rsidRPr="007B4321" w:rsidRDefault="00F90638" w:rsidP="00E84086"/>
    <w:p w14:paraId="7E9F4C0A" w14:textId="77777777" w:rsidR="00E84086" w:rsidRPr="007B4321" w:rsidRDefault="00331BB3" w:rsidP="00EA6FE0">
      <w:pPr>
        <w:ind w:left="4320"/>
        <w:rPr>
          <w:b/>
        </w:rPr>
      </w:pPr>
      <w:r w:rsidRPr="007B4321">
        <w:rPr>
          <w:b/>
        </w:rPr>
        <w:t>PUBLIC UTILITY COMMISSION OF TEXAS</w:t>
      </w:r>
    </w:p>
    <w:p w14:paraId="403515D7" w14:textId="77777777" w:rsidR="00E84086" w:rsidRPr="007B4321" w:rsidRDefault="00F90638" w:rsidP="00EA6FE0">
      <w:pPr>
        <w:ind w:left="4320"/>
        <w:rPr>
          <w:b/>
        </w:rPr>
      </w:pPr>
    </w:p>
    <w:p w14:paraId="4F93BCD6" w14:textId="77777777" w:rsidR="00E84086" w:rsidRPr="007B4321" w:rsidRDefault="00F90638" w:rsidP="00EA6FE0">
      <w:pPr>
        <w:ind w:left="4320"/>
        <w:rPr>
          <w:b/>
        </w:rPr>
      </w:pPr>
    </w:p>
    <w:p w14:paraId="71C02E83" w14:textId="77777777" w:rsidR="00EA6FE0" w:rsidRPr="007B4321" w:rsidRDefault="00F90638" w:rsidP="00EA6FE0">
      <w:pPr>
        <w:ind w:left="4320"/>
        <w:rPr>
          <w:b/>
        </w:rPr>
      </w:pPr>
    </w:p>
    <w:p w14:paraId="74C55072" w14:textId="77777777" w:rsidR="00E84086" w:rsidRPr="007B4321" w:rsidRDefault="00F90638" w:rsidP="00EA6FE0">
      <w:pPr>
        <w:ind w:left="4320"/>
        <w:rPr>
          <w:b/>
        </w:rPr>
      </w:pPr>
    </w:p>
    <w:p w14:paraId="50AC252B" w14:textId="77777777" w:rsidR="00EA6FE0" w:rsidRPr="007B4321" w:rsidRDefault="00F90638" w:rsidP="00EA6FE0">
      <w:pPr>
        <w:ind w:left="4320"/>
        <w:rPr>
          <w:b/>
        </w:rPr>
      </w:pPr>
    </w:p>
    <w:p w14:paraId="771AB0EB" w14:textId="77777777" w:rsidR="00E84086" w:rsidRPr="007B4321" w:rsidRDefault="00331BB3" w:rsidP="00EA6FE0">
      <w:pPr>
        <w:ind w:left="4320"/>
        <w:rPr>
          <w:b/>
        </w:rPr>
      </w:pPr>
      <w:r w:rsidRPr="007B4321">
        <w:rPr>
          <w:b/>
        </w:rPr>
        <w:t>__________________________________________</w:t>
      </w:r>
    </w:p>
    <w:p w14:paraId="56022074" w14:textId="77777777" w:rsidR="00E84086" w:rsidRPr="007B4321" w:rsidRDefault="00331BB3" w:rsidP="00EA6FE0">
      <w:pPr>
        <w:ind w:left="4320"/>
        <w:rPr>
          <w:b/>
        </w:rPr>
      </w:pPr>
      <w:r w:rsidRPr="007B4321">
        <w:rPr>
          <w:b/>
        </w:rPr>
        <w:t>DEANN T. WALKER, CHAIRMAN</w:t>
      </w:r>
    </w:p>
    <w:p w14:paraId="2AA3F05D" w14:textId="77777777" w:rsidR="00EA6FE0" w:rsidRPr="007B4321" w:rsidRDefault="00F90638" w:rsidP="00EA6FE0">
      <w:pPr>
        <w:ind w:left="4320"/>
        <w:rPr>
          <w:b/>
        </w:rPr>
      </w:pPr>
    </w:p>
    <w:p w14:paraId="6E48DAAD" w14:textId="77777777" w:rsidR="00EA6FE0" w:rsidRPr="007B4321" w:rsidRDefault="00F90638" w:rsidP="00EA6FE0">
      <w:pPr>
        <w:ind w:left="4320"/>
        <w:rPr>
          <w:b/>
        </w:rPr>
      </w:pPr>
    </w:p>
    <w:p w14:paraId="7BFA1635" w14:textId="77777777" w:rsidR="00EA6FE0" w:rsidRPr="007B4321" w:rsidRDefault="00F90638" w:rsidP="00EA6FE0">
      <w:pPr>
        <w:ind w:left="4320"/>
        <w:rPr>
          <w:b/>
        </w:rPr>
      </w:pPr>
    </w:p>
    <w:p w14:paraId="4432D6BB" w14:textId="77777777" w:rsidR="00EA6FE0" w:rsidRPr="007B4321" w:rsidRDefault="00F90638" w:rsidP="00EA6FE0">
      <w:pPr>
        <w:ind w:left="4320"/>
        <w:rPr>
          <w:b/>
        </w:rPr>
      </w:pPr>
    </w:p>
    <w:p w14:paraId="6D6497ED" w14:textId="77777777" w:rsidR="00EA6FE0" w:rsidRPr="007B4321" w:rsidRDefault="00F90638" w:rsidP="00EA6FE0">
      <w:pPr>
        <w:ind w:left="4320"/>
        <w:rPr>
          <w:b/>
        </w:rPr>
      </w:pPr>
    </w:p>
    <w:p w14:paraId="472550B0" w14:textId="77777777" w:rsidR="00EA6FE0" w:rsidRPr="007B4321" w:rsidRDefault="00331BB3" w:rsidP="00EA6FE0">
      <w:pPr>
        <w:ind w:left="4320"/>
        <w:rPr>
          <w:b/>
        </w:rPr>
      </w:pPr>
      <w:r w:rsidRPr="007B4321">
        <w:rPr>
          <w:b/>
        </w:rPr>
        <w:t>__________________________________________</w:t>
      </w:r>
    </w:p>
    <w:p w14:paraId="7D9557DC" w14:textId="77777777" w:rsidR="00EA6FE0" w:rsidRPr="007B4321" w:rsidRDefault="00331BB3" w:rsidP="00EA6FE0">
      <w:pPr>
        <w:ind w:left="4320"/>
        <w:rPr>
          <w:b/>
        </w:rPr>
      </w:pPr>
      <w:r w:rsidRPr="007B4321">
        <w:rPr>
          <w:b/>
        </w:rPr>
        <w:t>ARTHUR C. D’ANDREA, COMMISSIONER</w:t>
      </w:r>
    </w:p>
    <w:p w14:paraId="655890A6" w14:textId="77777777" w:rsidR="00EA6FE0" w:rsidRPr="007B4321" w:rsidRDefault="00F90638" w:rsidP="00EA6FE0">
      <w:pPr>
        <w:ind w:left="4320"/>
        <w:rPr>
          <w:b/>
        </w:rPr>
      </w:pPr>
    </w:p>
    <w:p w14:paraId="11B228B8" w14:textId="77777777" w:rsidR="00EA6FE0" w:rsidRPr="007B4321" w:rsidRDefault="00F90638" w:rsidP="00EA6FE0">
      <w:pPr>
        <w:ind w:left="4320"/>
        <w:rPr>
          <w:b/>
        </w:rPr>
      </w:pPr>
    </w:p>
    <w:p w14:paraId="7AD0CA58" w14:textId="77777777" w:rsidR="00EA6FE0" w:rsidRPr="007B4321" w:rsidRDefault="00F90638" w:rsidP="00EA6FE0">
      <w:pPr>
        <w:ind w:left="4320"/>
        <w:rPr>
          <w:b/>
        </w:rPr>
      </w:pPr>
    </w:p>
    <w:p w14:paraId="36EF9851" w14:textId="77777777" w:rsidR="00EA6FE0" w:rsidRPr="007B4321" w:rsidRDefault="00F90638" w:rsidP="00EA6FE0">
      <w:pPr>
        <w:ind w:left="4320"/>
        <w:rPr>
          <w:b/>
        </w:rPr>
      </w:pPr>
    </w:p>
    <w:p w14:paraId="20B32921" w14:textId="77777777" w:rsidR="00EA6FE0" w:rsidRPr="007B4321" w:rsidRDefault="00F90638" w:rsidP="00EA6FE0">
      <w:pPr>
        <w:ind w:left="4320"/>
        <w:rPr>
          <w:b/>
        </w:rPr>
      </w:pPr>
    </w:p>
    <w:p w14:paraId="143D9854" w14:textId="77777777" w:rsidR="00EA6FE0" w:rsidRPr="007B4321" w:rsidRDefault="00331BB3" w:rsidP="00EA6FE0">
      <w:pPr>
        <w:ind w:left="4320"/>
        <w:rPr>
          <w:b/>
        </w:rPr>
      </w:pPr>
      <w:r w:rsidRPr="007B4321">
        <w:rPr>
          <w:b/>
        </w:rPr>
        <w:t>__________________________________________</w:t>
      </w:r>
    </w:p>
    <w:p w14:paraId="1A0990FB" w14:textId="77777777" w:rsidR="00EA6FE0" w:rsidRPr="007B4321" w:rsidRDefault="00331BB3" w:rsidP="00EA6FE0">
      <w:pPr>
        <w:ind w:left="4320"/>
        <w:rPr>
          <w:b/>
        </w:rPr>
      </w:pPr>
      <w:r w:rsidRPr="007B4321">
        <w:rPr>
          <w:b/>
        </w:rPr>
        <w:t>SHELLY BOTKIN, COMMISSIONER</w:t>
      </w:r>
    </w:p>
    <w:sectPr w:rsidR="00EA6FE0" w:rsidRPr="007B4321" w:rsidSect="0038774E">
      <w:headerReference w:type="even" r:id="rId13"/>
      <w:headerReference w:type="default" r:id="rId14"/>
      <w:type w:val="continuous"/>
      <w:pgSz w:w="12260" w:h="1586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9FFCD" w14:textId="77777777" w:rsidR="006434DC" w:rsidRDefault="006434DC">
      <w:r>
        <w:separator/>
      </w:r>
    </w:p>
  </w:endnote>
  <w:endnote w:type="continuationSeparator" w:id="0">
    <w:p w14:paraId="5FA7CA3F" w14:textId="77777777" w:rsidR="006434DC" w:rsidRDefault="0064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72229" w14:textId="77777777" w:rsidR="00F90638" w:rsidRDefault="00F906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1512F" w14:textId="77777777" w:rsidR="00F90638" w:rsidRDefault="00F90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5D696" w14:textId="77777777" w:rsidR="00F90638" w:rsidRDefault="00F90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25076" w14:textId="77777777" w:rsidR="006434DC" w:rsidRDefault="006434DC" w:rsidP="000D36F0">
      <w:r>
        <w:separator/>
      </w:r>
    </w:p>
  </w:footnote>
  <w:footnote w:type="continuationSeparator" w:id="0">
    <w:p w14:paraId="6BEC3BFD" w14:textId="77777777" w:rsidR="006434DC" w:rsidRDefault="006434DC" w:rsidP="000D36F0">
      <w:r>
        <w:continuationSeparator/>
      </w:r>
    </w:p>
  </w:footnote>
  <w:footnote w:id="1">
    <w:p w14:paraId="5C84057F" w14:textId="77777777" w:rsidR="0035694A" w:rsidRDefault="00331BB3">
      <w:pPr>
        <w:pStyle w:val="FootnoteText"/>
      </w:pPr>
      <w:r>
        <w:rPr>
          <w:rStyle w:val="FootnoteReference"/>
        </w:rPr>
        <w:footnoteRef/>
      </w:r>
      <w:r>
        <w:t xml:space="preserve"> </w:t>
      </w:r>
      <w:r>
        <w:tab/>
      </w:r>
      <w:r w:rsidRPr="00DC6C5B">
        <w:rPr>
          <w:i/>
          <w:sz w:val="19"/>
        </w:rPr>
        <w:t>Application</w:t>
      </w:r>
      <w:r w:rsidRPr="00DC6C5B">
        <w:rPr>
          <w:i/>
          <w:spacing w:val="40"/>
          <w:sz w:val="19"/>
        </w:rPr>
        <w:t xml:space="preserve"> </w:t>
      </w:r>
      <w:r w:rsidRPr="00DC6C5B">
        <w:rPr>
          <w:i/>
          <w:sz w:val="19"/>
        </w:rPr>
        <w:t>of</w:t>
      </w:r>
      <w:r w:rsidRPr="00DC6C5B">
        <w:rPr>
          <w:i/>
          <w:spacing w:val="39"/>
          <w:sz w:val="19"/>
        </w:rPr>
        <w:t xml:space="preserve"> </w:t>
      </w:r>
      <w:r w:rsidRPr="00DC6C5B">
        <w:rPr>
          <w:i/>
          <w:sz w:val="19"/>
        </w:rPr>
        <w:t>El</w:t>
      </w:r>
      <w:r w:rsidRPr="00DC6C5B">
        <w:rPr>
          <w:i/>
          <w:spacing w:val="6"/>
          <w:sz w:val="19"/>
        </w:rPr>
        <w:t xml:space="preserve"> </w:t>
      </w:r>
      <w:r w:rsidRPr="00DC6C5B">
        <w:rPr>
          <w:i/>
          <w:sz w:val="19"/>
        </w:rPr>
        <w:t>Paso</w:t>
      </w:r>
      <w:r w:rsidRPr="00DC6C5B">
        <w:rPr>
          <w:i/>
          <w:spacing w:val="7"/>
          <w:sz w:val="19"/>
        </w:rPr>
        <w:t xml:space="preserve"> </w:t>
      </w:r>
      <w:r w:rsidRPr="00DC6C5B">
        <w:rPr>
          <w:i/>
          <w:sz w:val="19"/>
        </w:rPr>
        <w:t>Electric</w:t>
      </w:r>
      <w:r w:rsidRPr="00DC6C5B">
        <w:rPr>
          <w:i/>
          <w:spacing w:val="25"/>
          <w:sz w:val="19"/>
        </w:rPr>
        <w:t xml:space="preserve"> </w:t>
      </w:r>
      <w:r w:rsidRPr="00DC6C5B">
        <w:rPr>
          <w:i/>
          <w:sz w:val="19"/>
        </w:rPr>
        <w:t>Company</w:t>
      </w:r>
      <w:r w:rsidRPr="00DC6C5B">
        <w:rPr>
          <w:i/>
          <w:spacing w:val="13"/>
          <w:sz w:val="19"/>
        </w:rPr>
        <w:t xml:space="preserve"> </w:t>
      </w:r>
      <w:r w:rsidRPr="00DC6C5B">
        <w:rPr>
          <w:i/>
          <w:sz w:val="19"/>
        </w:rPr>
        <w:t>to</w:t>
      </w:r>
      <w:r w:rsidRPr="00DC6C5B">
        <w:rPr>
          <w:i/>
          <w:spacing w:val="36"/>
          <w:sz w:val="19"/>
        </w:rPr>
        <w:t xml:space="preserve"> </w:t>
      </w:r>
      <w:r w:rsidRPr="00DC6C5B">
        <w:rPr>
          <w:i/>
          <w:sz w:val="19"/>
        </w:rPr>
        <w:t>Adjust</w:t>
      </w:r>
      <w:r w:rsidRPr="00DC6C5B">
        <w:rPr>
          <w:i/>
          <w:spacing w:val="34"/>
          <w:sz w:val="19"/>
        </w:rPr>
        <w:t xml:space="preserve"> </w:t>
      </w:r>
      <w:r w:rsidRPr="00DC6C5B">
        <w:rPr>
          <w:i/>
          <w:sz w:val="19"/>
        </w:rPr>
        <w:t>its</w:t>
      </w:r>
      <w:r w:rsidRPr="00DC6C5B">
        <w:rPr>
          <w:i/>
          <w:spacing w:val="38"/>
          <w:sz w:val="19"/>
        </w:rPr>
        <w:t xml:space="preserve"> </w:t>
      </w:r>
      <w:r w:rsidRPr="00DC6C5B">
        <w:rPr>
          <w:i/>
          <w:sz w:val="19"/>
        </w:rPr>
        <w:t>Energy Efficiency Cost</w:t>
      </w:r>
      <w:r w:rsidRPr="00DC6C5B">
        <w:rPr>
          <w:i/>
          <w:spacing w:val="39"/>
          <w:sz w:val="19"/>
        </w:rPr>
        <w:t xml:space="preserve"> </w:t>
      </w:r>
      <w:r w:rsidRPr="00DC6C5B">
        <w:rPr>
          <w:i/>
          <w:sz w:val="19"/>
        </w:rPr>
        <w:t>Recovery</w:t>
      </w:r>
      <w:r w:rsidRPr="00DC6C5B">
        <w:rPr>
          <w:i/>
          <w:spacing w:val="22"/>
          <w:sz w:val="19"/>
        </w:rPr>
        <w:t xml:space="preserve"> </w:t>
      </w:r>
      <w:r w:rsidRPr="00DC6C5B">
        <w:rPr>
          <w:i/>
          <w:sz w:val="19"/>
        </w:rPr>
        <w:t>Factor and Establish</w:t>
      </w:r>
      <w:r w:rsidRPr="00DC6C5B">
        <w:rPr>
          <w:i/>
          <w:spacing w:val="24"/>
          <w:sz w:val="19"/>
        </w:rPr>
        <w:t xml:space="preserve"> </w:t>
      </w:r>
      <w:r w:rsidRPr="00DC6C5B">
        <w:rPr>
          <w:i/>
          <w:sz w:val="19"/>
        </w:rPr>
        <w:t>Revised Cost</w:t>
      </w:r>
      <w:r w:rsidRPr="00DC6C5B">
        <w:rPr>
          <w:i/>
          <w:spacing w:val="21"/>
          <w:sz w:val="19"/>
        </w:rPr>
        <w:t xml:space="preserve"> </w:t>
      </w:r>
      <w:r w:rsidRPr="00DC6C5B">
        <w:rPr>
          <w:i/>
          <w:sz w:val="19"/>
        </w:rPr>
        <w:t>Cap,</w:t>
      </w:r>
      <w:r w:rsidRPr="00DC6C5B">
        <w:rPr>
          <w:i/>
          <w:spacing w:val="7"/>
          <w:sz w:val="19"/>
        </w:rPr>
        <w:t xml:space="preserve"> </w:t>
      </w:r>
      <w:r w:rsidRPr="00DC6C5B">
        <w:rPr>
          <w:sz w:val="19"/>
        </w:rPr>
        <w:t>Docket</w:t>
      </w:r>
      <w:r w:rsidRPr="00DC6C5B">
        <w:rPr>
          <w:spacing w:val="21"/>
          <w:sz w:val="19"/>
        </w:rPr>
        <w:t xml:space="preserve"> </w:t>
      </w:r>
      <w:r w:rsidRPr="00DC6C5B">
        <w:rPr>
          <w:sz w:val="19"/>
        </w:rPr>
        <w:t>No.</w:t>
      </w:r>
      <w:r w:rsidRPr="00DC6C5B">
        <w:rPr>
          <w:spacing w:val="20"/>
          <w:sz w:val="19"/>
        </w:rPr>
        <w:t xml:space="preserve"> </w:t>
      </w:r>
      <w:r w:rsidRPr="00DC6C5B">
        <w:rPr>
          <w:sz w:val="19"/>
        </w:rPr>
        <w:t>49496,</w:t>
      </w:r>
      <w:r w:rsidRPr="00DC6C5B">
        <w:rPr>
          <w:spacing w:val="29"/>
          <w:sz w:val="19"/>
        </w:rPr>
        <w:t xml:space="preserve"> </w:t>
      </w:r>
      <w:r w:rsidRPr="00DC6C5B">
        <w:rPr>
          <w:sz w:val="19"/>
        </w:rPr>
        <w:t>Order</w:t>
      </w:r>
      <w:r w:rsidRPr="00DC6C5B">
        <w:rPr>
          <w:spacing w:val="25"/>
          <w:sz w:val="19"/>
        </w:rPr>
        <w:t xml:space="preserve"> </w:t>
      </w:r>
      <w:r w:rsidRPr="00DC6C5B">
        <w:rPr>
          <w:sz w:val="19"/>
        </w:rPr>
        <w:t>(Nov. 21, 2019).</w:t>
      </w:r>
    </w:p>
  </w:footnote>
  <w:footnote w:id="2">
    <w:p w14:paraId="4FD3C868" w14:textId="77777777" w:rsidR="0035694A" w:rsidRDefault="00331BB3">
      <w:pPr>
        <w:pStyle w:val="FootnoteText"/>
      </w:pPr>
      <w:r>
        <w:rPr>
          <w:rStyle w:val="FootnoteReference"/>
        </w:rPr>
        <w:footnoteRef/>
      </w:r>
      <w:r>
        <w:t xml:space="preserve"> </w:t>
      </w:r>
      <w:r>
        <w:tab/>
      </w:r>
      <w:r>
        <w:rPr>
          <w:i/>
          <w:w w:val="105"/>
          <w:sz w:val="19"/>
        </w:rPr>
        <w:t>Application</w:t>
      </w:r>
      <w:r>
        <w:rPr>
          <w:i/>
          <w:spacing w:val="18"/>
          <w:w w:val="105"/>
          <w:sz w:val="19"/>
        </w:rPr>
        <w:t xml:space="preserve"> </w:t>
      </w:r>
      <w:r>
        <w:rPr>
          <w:i/>
          <w:w w:val="105"/>
          <w:sz w:val="19"/>
        </w:rPr>
        <w:t>of</w:t>
      </w:r>
      <w:r>
        <w:rPr>
          <w:i/>
          <w:spacing w:val="-16"/>
          <w:w w:val="105"/>
          <w:sz w:val="19"/>
        </w:rPr>
        <w:t xml:space="preserve"> </w:t>
      </w:r>
      <w:r>
        <w:rPr>
          <w:i/>
          <w:w w:val="105"/>
          <w:sz w:val="19"/>
        </w:rPr>
        <w:t>El</w:t>
      </w:r>
      <w:r>
        <w:rPr>
          <w:i/>
          <w:spacing w:val="-5"/>
          <w:w w:val="105"/>
          <w:sz w:val="19"/>
        </w:rPr>
        <w:t xml:space="preserve"> </w:t>
      </w:r>
      <w:r>
        <w:rPr>
          <w:i/>
          <w:w w:val="105"/>
          <w:sz w:val="19"/>
        </w:rPr>
        <w:t>Paso Electric</w:t>
      </w:r>
      <w:r>
        <w:rPr>
          <w:i/>
          <w:spacing w:val="18"/>
          <w:w w:val="105"/>
          <w:sz w:val="19"/>
        </w:rPr>
        <w:t xml:space="preserve"> </w:t>
      </w:r>
      <w:r>
        <w:rPr>
          <w:i/>
          <w:w w:val="105"/>
          <w:sz w:val="19"/>
        </w:rPr>
        <w:t>Company to</w:t>
      </w:r>
      <w:r>
        <w:rPr>
          <w:i/>
          <w:spacing w:val="-7"/>
          <w:w w:val="105"/>
          <w:sz w:val="19"/>
        </w:rPr>
        <w:t xml:space="preserve"> </w:t>
      </w:r>
      <w:r>
        <w:rPr>
          <w:i/>
          <w:w w:val="105"/>
          <w:sz w:val="19"/>
        </w:rPr>
        <w:t>Change</w:t>
      </w:r>
      <w:r>
        <w:rPr>
          <w:i/>
          <w:spacing w:val="-16"/>
          <w:w w:val="105"/>
          <w:sz w:val="19"/>
        </w:rPr>
        <w:t xml:space="preserve"> </w:t>
      </w:r>
      <w:r>
        <w:rPr>
          <w:i/>
          <w:w w:val="105"/>
          <w:sz w:val="19"/>
        </w:rPr>
        <w:t>Rates,</w:t>
      </w:r>
      <w:r>
        <w:rPr>
          <w:i/>
          <w:spacing w:val="-5"/>
          <w:w w:val="105"/>
          <w:sz w:val="19"/>
        </w:rPr>
        <w:t xml:space="preserve"> </w:t>
      </w:r>
      <w:r>
        <w:rPr>
          <w:w w:val="105"/>
          <w:sz w:val="19"/>
        </w:rPr>
        <w:t>Docket</w:t>
      </w:r>
      <w:r>
        <w:rPr>
          <w:spacing w:val="-2"/>
          <w:w w:val="105"/>
          <w:sz w:val="19"/>
        </w:rPr>
        <w:t xml:space="preserve"> </w:t>
      </w:r>
      <w:r>
        <w:rPr>
          <w:w w:val="105"/>
          <w:sz w:val="19"/>
        </w:rPr>
        <w:t>No.</w:t>
      </w:r>
      <w:r>
        <w:rPr>
          <w:spacing w:val="1"/>
          <w:w w:val="105"/>
          <w:sz w:val="19"/>
        </w:rPr>
        <w:t xml:space="preserve"> </w:t>
      </w:r>
      <w:r>
        <w:rPr>
          <w:w w:val="105"/>
          <w:sz w:val="19"/>
        </w:rPr>
        <w:t>46831,</w:t>
      </w:r>
      <w:r>
        <w:rPr>
          <w:spacing w:val="4"/>
          <w:w w:val="105"/>
          <w:sz w:val="19"/>
        </w:rPr>
        <w:t xml:space="preserve"> </w:t>
      </w:r>
      <w:r>
        <w:rPr>
          <w:w w:val="105"/>
          <w:sz w:val="19"/>
        </w:rPr>
        <w:t>Order</w:t>
      </w:r>
      <w:r>
        <w:rPr>
          <w:spacing w:val="1"/>
          <w:w w:val="105"/>
          <w:sz w:val="19"/>
        </w:rPr>
        <w:t xml:space="preserve"> </w:t>
      </w:r>
      <w:r>
        <w:rPr>
          <w:w w:val="105"/>
          <w:sz w:val="19"/>
        </w:rPr>
        <w:t>(Dec.</w:t>
      </w:r>
      <w:r>
        <w:rPr>
          <w:spacing w:val="3"/>
          <w:w w:val="105"/>
          <w:sz w:val="19"/>
        </w:rPr>
        <w:t xml:space="preserve"> </w:t>
      </w:r>
      <w:r>
        <w:rPr>
          <w:w w:val="105"/>
          <w:sz w:val="19"/>
        </w:rPr>
        <w:t>8,</w:t>
      </w:r>
      <w:r>
        <w:rPr>
          <w:spacing w:val="-12"/>
          <w:w w:val="105"/>
          <w:sz w:val="19"/>
        </w:rPr>
        <w:t xml:space="preserve"> </w:t>
      </w:r>
      <w:r>
        <w:rPr>
          <w:w w:val="105"/>
          <w:sz w:val="19"/>
        </w:rPr>
        <w:t>2017).</w:t>
      </w:r>
    </w:p>
  </w:footnote>
  <w:footnote w:id="3">
    <w:p w14:paraId="0ABC0D82" w14:textId="77777777" w:rsidR="00D41D3A" w:rsidRDefault="00331BB3" w:rsidP="006068A9">
      <w:pPr>
        <w:pStyle w:val="FootnoteText"/>
        <w:jc w:val="both"/>
      </w:pPr>
      <w:r>
        <w:rPr>
          <w:rStyle w:val="FootnoteReference"/>
        </w:rPr>
        <w:footnoteRef/>
      </w:r>
      <w:r>
        <w:t xml:space="preserve"> </w:t>
      </w:r>
      <w:r>
        <w:tab/>
      </w:r>
      <w:r w:rsidRPr="006068A9">
        <w:rPr>
          <w:i/>
        </w:rPr>
        <w:t xml:space="preserve">Application of El Paso Electric Company to Reconcile Fuel Costs, </w:t>
      </w:r>
      <w:r w:rsidRPr="006068A9">
        <w:t>Docket No. 46308, Order</w:t>
      </w:r>
      <w:r w:rsidRPr="006068A9">
        <w:rPr>
          <w:w w:val="105"/>
        </w:rPr>
        <w:t xml:space="preserve"> </w:t>
      </w:r>
      <w:r w:rsidRPr="006068A9">
        <w:t>(Jun.</w:t>
      </w:r>
      <w:r>
        <w:t> </w:t>
      </w:r>
      <w:r w:rsidRPr="006068A9">
        <w:t>29,</w:t>
      </w:r>
      <w:r>
        <w:t> </w:t>
      </w:r>
      <w:r w:rsidRPr="006068A9">
        <w:t>2017).</w:t>
      </w:r>
    </w:p>
  </w:footnote>
  <w:footnote w:id="4">
    <w:p w14:paraId="6B5EF1E4" w14:textId="77777777" w:rsidR="00E659B4" w:rsidRPr="009E2C55" w:rsidRDefault="00331BB3">
      <w:pPr>
        <w:pStyle w:val="FootnoteText"/>
      </w:pPr>
      <w:r>
        <w:rPr>
          <w:rStyle w:val="FootnoteReference"/>
        </w:rPr>
        <w:footnoteRef/>
      </w:r>
      <w:r>
        <w:t xml:space="preserve"> </w:t>
      </w:r>
      <w:r>
        <w:tab/>
      </w:r>
      <w:r w:rsidRPr="006068A9">
        <w:rPr>
          <w:rFonts w:eastAsia="Times New Roman" w:cs="Times New Roman"/>
        </w:rPr>
        <w:t>Public Utility Regulatory Act, Tex. Util. Code §§ 11.001-66.016.</w:t>
      </w:r>
    </w:p>
  </w:footnote>
  <w:footnote w:id="5">
    <w:p w14:paraId="3472A47A" w14:textId="77777777" w:rsidR="00E659B4" w:rsidRDefault="00331BB3">
      <w:pPr>
        <w:pStyle w:val="FootnoteText"/>
      </w:pPr>
      <w:r w:rsidRPr="009E2C55">
        <w:rPr>
          <w:rStyle w:val="FootnoteReference"/>
        </w:rPr>
        <w:footnoteRef/>
      </w:r>
      <w:r w:rsidRPr="009E2C55">
        <w:t xml:space="preserve"> </w:t>
      </w:r>
      <w:r w:rsidRPr="009E2C55">
        <w:tab/>
      </w:r>
      <w:r w:rsidRPr="006068A9">
        <w:rPr>
          <w:rFonts w:eastAsia="Times New Roman" w:cs="Times New Roman"/>
        </w:rPr>
        <w:t>Administrative Procedure Act, Tex. Gov’t Code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D420A" w14:textId="77777777" w:rsidR="000452B2" w:rsidRPr="00E84086" w:rsidRDefault="000452B2">
    <w:pPr>
      <w:pStyle w:val="Header"/>
      <w:rPr>
        <w:b/>
        <w:sz w:val="20"/>
        <w:szCs w:val="20"/>
      </w:rPr>
    </w:pPr>
    <w:r w:rsidRPr="00E84086">
      <w:rPr>
        <w:b/>
        <w:sz w:val="20"/>
        <w:szCs w:val="20"/>
      </w:rPr>
      <w:t>PUC Docket No. 50806</w:t>
    </w:r>
    <w:r>
      <w:rPr>
        <w:b/>
        <w:sz w:val="20"/>
        <w:szCs w:val="20"/>
      </w:rPr>
      <w:tab/>
      <w:t>Order</w:t>
    </w:r>
    <w:r>
      <w:rPr>
        <w:b/>
        <w:sz w:val="20"/>
        <w:szCs w:val="20"/>
      </w:rPr>
      <w:tab/>
      <w:t>Exhibit C</w:t>
    </w:r>
  </w:p>
  <w:p w14:paraId="7A2B5950" w14:textId="06BBDCB4" w:rsidR="000452B2" w:rsidRPr="00E84086" w:rsidRDefault="000452B2">
    <w:pPr>
      <w:pStyle w:val="Header"/>
      <w:rPr>
        <w:b/>
        <w:sz w:val="20"/>
        <w:szCs w:val="20"/>
      </w:rPr>
    </w:pPr>
    <w:r w:rsidRPr="00E84086">
      <w:rPr>
        <w:b/>
        <w:sz w:val="20"/>
        <w:szCs w:val="20"/>
      </w:rPr>
      <w:t>SOAH Docket No. 473-20-3633</w:t>
    </w:r>
    <w:r>
      <w:rPr>
        <w:b/>
        <w:sz w:val="20"/>
        <w:szCs w:val="20"/>
      </w:rPr>
      <w:tab/>
    </w:r>
    <w:r>
      <w:rPr>
        <w:b/>
        <w:sz w:val="20"/>
        <w:szCs w:val="20"/>
      </w:rPr>
      <w:tab/>
    </w:r>
    <w:r w:rsidRPr="00B73020">
      <w:rPr>
        <w:b/>
        <w:sz w:val="20"/>
        <w:szCs w:val="20"/>
      </w:rPr>
      <w:t xml:space="preserve">Page </w:t>
    </w:r>
    <w:r w:rsidRPr="00B73020">
      <w:rPr>
        <w:b/>
        <w:sz w:val="20"/>
        <w:szCs w:val="20"/>
      </w:rPr>
      <w:fldChar w:fldCharType="begin"/>
    </w:r>
    <w:r w:rsidRPr="00B73020">
      <w:rPr>
        <w:b/>
        <w:sz w:val="20"/>
        <w:szCs w:val="20"/>
      </w:rPr>
      <w:instrText xml:space="preserve"> PAGE   \* MERGEFORMAT </w:instrText>
    </w:r>
    <w:r w:rsidRPr="00B73020">
      <w:rPr>
        <w:b/>
        <w:sz w:val="20"/>
        <w:szCs w:val="20"/>
      </w:rPr>
      <w:fldChar w:fldCharType="separate"/>
    </w:r>
    <w:r>
      <w:rPr>
        <w:b/>
        <w:noProof/>
        <w:sz w:val="20"/>
        <w:szCs w:val="20"/>
      </w:rPr>
      <w:t>2</w:t>
    </w:r>
    <w:r w:rsidRPr="00B73020">
      <w:rPr>
        <w:b/>
        <w:noProof/>
        <w:sz w:val="20"/>
        <w:szCs w:val="20"/>
      </w:rPr>
      <w:fldChar w:fldCharType="end"/>
    </w:r>
    <w:r w:rsidRPr="00B73020">
      <w:rPr>
        <w:b/>
        <w:sz w:val="20"/>
        <w:szCs w:val="20"/>
      </w:rPr>
      <w:t xml:space="preserve"> of 15</w:t>
    </w:r>
  </w:p>
  <w:p w14:paraId="6C0E508A" w14:textId="77777777" w:rsidR="000452B2" w:rsidRDefault="000452B2">
    <w:pPr>
      <w:pStyle w:val="Header"/>
      <w:rPr>
        <w:b/>
        <w:sz w:val="20"/>
        <w:szCs w:val="20"/>
      </w:rPr>
    </w:pPr>
  </w:p>
  <w:p w14:paraId="7C34AF59" w14:textId="77777777" w:rsidR="000452B2" w:rsidRPr="00E84086" w:rsidRDefault="000452B2">
    <w:pPr>
      <w:pStyle w:val="Header"/>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39A10" w14:textId="1BE96029" w:rsidR="000452B2" w:rsidRPr="0038774E" w:rsidRDefault="000452B2" w:rsidP="0038774E">
    <w:pPr>
      <w:pStyle w:val="Header"/>
      <w:jc w:val="right"/>
      <w:rPr>
        <w:b/>
        <w:szCs w:val="24"/>
      </w:rPr>
    </w:pPr>
    <w:r w:rsidRPr="0038774E">
      <w:rPr>
        <w:b/>
        <w:szCs w:val="24"/>
      </w:rPr>
      <w:t>Exhibit 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B6EC7" w14:textId="77777777" w:rsidR="00F90638" w:rsidRDefault="00F906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B67D0" w14:textId="77777777" w:rsidR="000452B2" w:rsidRPr="00E84086" w:rsidRDefault="000452B2">
    <w:pPr>
      <w:pStyle w:val="Header"/>
      <w:rPr>
        <w:b/>
        <w:sz w:val="20"/>
        <w:szCs w:val="20"/>
      </w:rPr>
    </w:pPr>
    <w:r w:rsidRPr="00E84086">
      <w:rPr>
        <w:b/>
        <w:sz w:val="20"/>
        <w:szCs w:val="20"/>
      </w:rPr>
      <w:t>PUC Docket No. 50806</w:t>
    </w:r>
    <w:r>
      <w:rPr>
        <w:b/>
        <w:sz w:val="20"/>
        <w:szCs w:val="20"/>
      </w:rPr>
      <w:tab/>
      <w:t>Order</w:t>
    </w:r>
    <w:r>
      <w:rPr>
        <w:b/>
        <w:sz w:val="20"/>
        <w:szCs w:val="20"/>
      </w:rPr>
      <w:tab/>
      <w:t>Exhibit C</w:t>
    </w:r>
  </w:p>
  <w:p w14:paraId="176A6E9B" w14:textId="66F7F602" w:rsidR="000452B2" w:rsidRPr="00E84086" w:rsidRDefault="000452B2">
    <w:pPr>
      <w:pStyle w:val="Header"/>
      <w:rPr>
        <w:b/>
        <w:sz w:val="20"/>
        <w:szCs w:val="20"/>
      </w:rPr>
    </w:pPr>
    <w:r w:rsidRPr="00E84086">
      <w:rPr>
        <w:b/>
        <w:sz w:val="20"/>
        <w:szCs w:val="20"/>
      </w:rPr>
      <w:t>SOAH Docket No. 473-20-3633</w:t>
    </w:r>
    <w:r>
      <w:rPr>
        <w:b/>
        <w:sz w:val="20"/>
        <w:szCs w:val="20"/>
      </w:rPr>
      <w:tab/>
    </w:r>
    <w:r>
      <w:rPr>
        <w:b/>
        <w:sz w:val="20"/>
        <w:szCs w:val="20"/>
      </w:rPr>
      <w:tab/>
    </w:r>
    <w:r w:rsidRPr="00B73020">
      <w:rPr>
        <w:b/>
        <w:sz w:val="20"/>
        <w:szCs w:val="20"/>
      </w:rPr>
      <w:t xml:space="preserve">Page </w:t>
    </w:r>
    <w:r w:rsidRPr="00B73020">
      <w:rPr>
        <w:b/>
        <w:sz w:val="20"/>
        <w:szCs w:val="20"/>
      </w:rPr>
      <w:fldChar w:fldCharType="begin"/>
    </w:r>
    <w:r w:rsidRPr="00B73020">
      <w:rPr>
        <w:b/>
        <w:sz w:val="20"/>
        <w:szCs w:val="20"/>
      </w:rPr>
      <w:instrText xml:space="preserve"> PAGE   \* MERGEFORMAT </w:instrText>
    </w:r>
    <w:r w:rsidRPr="00B73020">
      <w:rPr>
        <w:b/>
        <w:sz w:val="20"/>
        <w:szCs w:val="20"/>
      </w:rPr>
      <w:fldChar w:fldCharType="separate"/>
    </w:r>
    <w:r w:rsidR="0038774E">
      <w:rPr>
        <w:b/>
        <w:noProof/>
        <w:sz w:val="20"/>
        <w:szCs w:val="20"/>
      </w:rPr>
      <w:t>2</w:t>
    </w:r>
    <w:r w:rsidRPr="00B73020">
      <w:rPr>
        <w:b/>
        <w:noProof/>
        <w:sz w:val="20"/>
        <w:szCs w:val="20"/>
      </w:rPr>
      <w:fldChar w:fldCharType="end"/>
    </w:r>
    <w:r w:rsidRPr="00B73020">
      <w:rPr>
        <w:b/>
        <w:sz w:val="20"/>
        <w:szCs w:val="20"/>
      </w:rPr>
      <w:t xml:space="preserve"> of 15</w:t>
    </w:r>
  </w:p>
  <w:p w14:paraId="6921F431" w14:textId="77777777" w:rsidR="000452B2" w:rsidRDefault="000452B2">
    <w:pPr>
      <w:pStyle w:val="Header"/>
      <w:rPr>
        <w:b/>
        <w:sz w:val="20"/>
        <w:szCs w:val="20"/>
      </w:rPr>
    </w:pPr>
  </w:p>
  <w:p w14:paraId="56A1EB5E" w14:textId="77777777" w:rsidR="000452B2" w:rsidRPr="00E84086" w:rsidRDefault="000452B2">
    <w:pPr>
      <w:pStyle w:val="Header"/>
      <w:rPr>
        <w:b/>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1D32D" w14:textId="77777777" w:rsidR="0038774E" w:rsidRPr="00E84086" w:rsidRDefault="0038774E" w:rsidP="0038774E">
    <w:pPr>
      <w:pStyle w:val="Header"/>
      <w:rPr>
        <w:b/>
        <w:sz w:val="20"/>
        <w:szCs w:val="20"/>
      </w:rPr>
    </w:pPr>
    <w:r w:rsidRPr="00E84086">
      <w:rPr>
        <w:b/>
        <w:sz w:val="20"/>
        <w:szCs w:val="20"/>
      </w:rPr>
      <w:t>PUC Docket No. 50806</w:t>
    </w:r>
    <w:r>
      <w:rPr>
        <w:b/>
        <w:sz w:val="20"/>
        <w:szCs w:val="20"/>
      </w:rPr>
      <w:tab/>
      <w:t>Order</w:t>
    </w:r>
    <w:r>
      <w:rPr>
        <w:b/>
        <w:sz w:val="20"/>
        <w:szCs w:val="20"/>
      </w:rPr>
      <w:tab/>
      <w:t>Exhibit C</w:t>
    </w:r>
  </w:p>
  <w:p w14:paraId="551F3E96" w14:textId="355DCDBF" w:rsidR="0038774E" w:rsidRPr="00E84086" w:rsidRDefault="0038774E" w:rsidP="0038774E">
    <w:pPr>
      <w:pStyle w:val="Header"/>
      <w:rPr>
        <w:b/>
        <w:sz w:val="20"/>
        <w:szCs w:val="20"/>
      </w:rPr>
    </w:pPr>
    <w:r w:rsidRPr="00E84086">
      <w:rPr>
        <w:b/>
        <w:sz w:val="20"/>
        <w:szCs w:val="20"/>
      </w:rPr>
      <w:t>SOAH Docket No. 473-20-3633</w:t>
    </w:r>
    <w:r>
      <w:rPr>
        <w:b/>
        <w:sz w:val="20"/>
        <w:szCs w:val="20"/>
      </w:rPr>
      <w:tab/>
    </w:r>
    <w:r>
      <w:rPr>
        <w:b/>
        <w:sz w:val="20"/>
        <w:szCs w:val="20"/>
      </w:rPr>
      <w:tab/>
    </w:r>
    <w:r w:rsidRPr="00B73020">
      <w:rPr>
        <w:b/>
        <w:sz w:val="20"/>
        <w:szCs w:val="20"/>
      </w:rPr>
      <w:t xml:space="preserve">Page </w:t>
    </w:r>
    <w:r w:rsidRPr="00B73020">
      <w:rPr>
        <w:b/>
        <w:sz w:val="20"/>
        <w:szCs w:val="20"/>
      </w:rPr>
      <w:fldChar w:fldCharType="begin"/>
    </w:r>
    <w:r w:rsidRPr="00B73020">
      <w:rPr>
        <w:b/>
        <w:sz w:val="20"/>
        <w:szCs w:val="20"/>
      </w:rPr>
      <w:instrText xml:space="preserve"> PAGE   \* MERGEFORMAT </w:instrText>
    </w:r>
    <w:r w:rsidRPr="00B73020">
      <w:rPr>
        <w:b/>
        <w:sz w:val="20"/>
        <w:szCs w:val="20"/>
      </w:rPr>
      <w:fldChar w:fldCharType="separate"/>
    </w:r>
    <w:r w:rsidR="00F90638">
      <w:rPr>
        <w:b/>
        <w:noProof/>
        <w:sz w:val="20"/>
        <w:szCs w:val="20"/>
      </w:rPr>
      <w:t>15</w:t>
    </w:r>
    <w:r w:rsidRPr="00B73020">
      <w:rPr>
        <w:b/>
        <w:noProof/>
        <w:sz w:val="20"/>
        <w:szCs w:val="20"/>
      </w:rPr>
      <w:fldChar w:fldCharType="end"/>
    </w:r>
    <w:r w:rsidRPr="00B73020">
      <w:rPr>
        <w:b/>
        <w:sz w:val="20"/>
        <w:szCs w:val="20"/>
      </w:rPr>
      <w:t xml:space="preserve"> of 15</w:t>
    </w:r>
  </w:p>
  <w:p w14:paraId="5FA04A6F" w14:textId="77777777" w:rsidR="0038774E" w:rsidRPr="00E84086" w:rsidRDefault="0038774E" w:rsidP="0038774E">
    <w:pPr>
      <w:pStyle w:val="Header"/>
      <w:rPr>
        <w:b/>
        <w:sz w:val="20"/>
        <w:szCs w:val="20"/>
      </w:rPr>
    </w:pPr>
  </w:p>
  <w:p w14:paraId="5D017149" w14:textId="1B63EB97" w:rsidR="0038774E" w:rsidRPr="0038774E" w:rsidRDefault="0038774E" w:rsidP="00387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29BF"/>
    <w:multiLevelType w:val="hybridMultilevel"/>
    <w:tmpl w:val="5D2A6816"/>
    <w:lvl w:ilvl="0" w:tplc="B0BA5144">
      <w:start w:val="1"/>
      <w:numFmt w:val="decimal"/>
      <w:lvlText w:val="%1."/>
      <w:lvlJc w:val="left"/>
      <w:pPr>
        <w:ind w:left="837" w:hanging="706"/>
      </w:pPr>
      <w:rPr>
        <w:rFonts w:ascii="Times New Roman" w:eastAsia="Times New Roman" w:hAnsi="Times New Roman" w:hint="default"/>
        <w:w w:val="105"/>
        <w:sz w:val="23"/>
        <w:szCs w:val="23"/>
      </w:rPr>
    </w:lvl>
    <w:lvl w:ilvl="1" w:tplc="2DA46E56">
      <w:start w:val="1"/>
      <w:numFmt w:val="bullet"/>
      <w:lvlText w:val="•"/>
      <w:lvlJc w:val="left"/>
      <w:pPr>
        <w:ind w:left="1837" w:hanging="706"/>
      </w:pPr>
      <w:rPr>
        <w:rFonts w:hint="default"/>
      </w:rPr>
    </w:lvl>
    <w:lvl w:ilvl="2" w:tplc="5782B208">
      <w:start w:val="1"/>
      <w:numFmt w:val="bullet"/>
      <w:lvlText w:val="•"/>
      <w:lvlJc w:val="left"/>
      <w:pPr>
        <w:ind w:left="2837" w:hanging="706"/>
      </w:pPr>
      <w:rPr>
        <w:rFonts w:hint="default"/>
      </w:rPr>
    </w:lvl>
    <w:lvl w:ilvl="3" w:tplc="7736D3A4">
      <w:start w:val="1"/>
      <w:numFmt w:val="bullet"/>
      <w:lvlText w:val="•"/>
      <w:lvlJc w:val="left"/>
      <w:pPr>
        <w:ind w:left="3837" w:hanging="706"/>
      </w:pPr>
      <w:rPr>
        <w:rFonts w:hint="default"/>
      </w:rPr>
    </w:lvl>
    <w:lvl w:ilvl="4" w:tplc="C21C2452">
      <w:start w:val="1"/>
      <w:numFmt w:val="bullet"/>
      <w:lvlText w:val="•"/>
      <w:lvlJc w:val="left"/>
      <w:pPr>
        <w:ind w:left="4837" w:hanging="706"/>
      </w:pPr>
      <w:rPr>
        <w:rFonts w:hint="default"/>
      </w:rPr>
    </w:lvl>
    <w:lvl w:ilvl="5" w:tplc="C038B4AC">
      <w:start w:val="1"/>
      <w:numFmt w:val="bullet"/>
      <w:lvlText w:val="•"/>
      <w:lvlJc w:val="left"/>
      <w:pPr>
        <w:ind w:left="5837" w:hanging="706"/>
      </w:pPr>
      <w:rPr>
        <w:rFonts w:hint="default"/>
      </w:rPr>
    </w:lvl>
    <w:lvl w:ilvl="6" w:tplc="D6645586">
      <w:start w:val="1"/>
      <w:numFmt w:val="bullet"/>
      <w:lvlText w:val="•"/>
      <w:lvlJc w:val="left"/>
      <w:pPr>
        <w:ind w:left="6837" w:hanging="706"/>
      </w:pPr>
      <w:rPr>
        <w:rFonts w:hint="default"/>
      </w:rPr>
    </w:lvl>
    <w:lvl w:ilvl="7" w:tplc="7CBCBE04">
      <w:start w:val="1"/>
      <w:numFmt w:val="bullet"/>
      <w:lvlText w:val="•"/>
      <w:lvlJc w:val="left"/>
      <w:pPr>
        <w:ind w:left="7837" w:hanging="706"/>
      </w:pPr>
      <w:rPr>
        <w:rFonts w:hint="default"/>
      </w:rPr>
    </w:lvl>
    <w:lvl w:ilvl="8" w:tplc="4D1A358E">
      <w:start w:val="1"/>
      <w:numFmt w:val="bullet"/>
      <w:lvlText w:val="•"/>
      <w:lvlJc w:val="left"/>
      <w:pPr>
        <w:ind w:left="8837" w:hanging="706"/>
      </w:pPr>
      <w:rPr>
        <w:rFonts w:hint="default"/>
      </w:rPr>
    </w:lvl>
  </w:abstractNum>
  <w:abstractNum w:abstractNumId="1" w15:restartNumberingAfterBreak="0">
    <w:nsid w:val="0A8F3D5E"/>
    <w:multiLevelType w:val="singleLevel"/>
    <w:tmpl w:val="85D24BCC"/>
    <w:lvl w:ilvl="0">
      <w:start w:val="1"/>
      <w:numFmt w:val="decimal"/>
      <w:lvlText w:val="%1."/>
      <w:lvlJc w:val="left"/>
      <w:pPr>
        <w:ind w:left="720" w:hanging="360"/>
      </w:pPr>
      <w:rPr>
        <w:b w:val="0"/>
      </w:rPr>
    </w:lvl>
  </w:abstractNum>
  <w:abstractNum w:abstractNumId="2" w15:restartNumberingAfterBreak="0">
    <w:nsid w:val="0D4B287C"/>
    <w:multiLevelType w:val="hybridMultilevel"/>
    <w:tmpl w:val="AAD2D306"/>
    <w:lvl w:ilvl="0" w:tplc="C9AA33F8">
      <w:start w:val="4"/>
      <w:numFmt w:val="lowerLetter"/>
      <w:lvlText w:val="(%1)"/>
      <w:lvlJc w:val="left"/>
      <w:pPr>
        <w:ind w:left="1529" w:hanging="716"/>
      </w:pPr>
      <w:rPr>
        <w:rFonts w:ascii="Times New Roman" w:eastAsia="Times New Roman" w:hAnsi="Times New Roman" w:hint="default"/>
        <w:w w:val="102"/>
        <w:sz w:val="23"/>
        <w:szCs w:val="23"/>
      </w:rPr>
    </w:lvl>
    <w:lvl w:ilvl="1" w:tplc="0C0688D0">
      <w:start w:val="1"/>
      <w:numFmt w:val="bullet"/>
      <w:lvlText w:val="•"/>
      <w:lvlJc w:val="left"/>
      <w:pPr>
        <w:ind w:left="2446" w:hanging="716"/>
      </w:pPr>
      <w:rPr>
        <w:rFonts w:hint="default"/>
      </w:rPr>
    </w:lvl>
    <w:lvl w:ilvl="2" w:tplc="34FC3360">
      <w:start w:val="1"/>
      <w:numFmt w:val="bullet"/>
      <w:lvlText w:val="•"/>
      <w:lvlJc w:val="left"/>
      <w:pPr>
        <w:ind w:left="3363" w:hanging="716"/>
      </w:pPr>
      <w:rPr>
        <w:rFonts w:hint="default"/>
      </w:rPr>
    </w:lvl>
    <w:lvl w:ilvl="3" w:tplc="67D6DB18">
      <w:start w:val="1"/>
      <w:numFmt w:val="bullet"/>
      <w:lvlText w:val="•"/>
      <w:lvlJc w:val="left"/>
      <w:pPr>
        <w:ind w:left="4280" w:hanging="716"/>
      </w:pPr>
      <w:rPr>
        <w:rFonts w:hint="default"/>
      </w:rPr>
    </w:lvl>
    <w:lvl w:ilvl="4" w:tplc="AAB8E578">
      <w:start w:val="1"/>
      <w:numFmt w:val="bullet"/>
      <w:lvlText w:val="•"/>
      <w:lvlJc w:val="left"/>
      <w:pPr>
        <w:ind w:left="5198" w:hanging="716"/>
      </w:pPr>
      <w:rPr>
        <w:rFonts w:hint="default"/>
      </w:rPr>
    </w:lvl>
    <w:lvl w:ilvl="5" w:tplc="CAA0FEF0">
      <w:start w:val="1"/>
      <w:numFmt w:val="bullet"/>
      <w:lvlText w:val="•"/>
      <w:lvlJc w:val="left"/>
      <w:pPr>
        <w:ind w:left="6115" w:hanging="716"/>
      </w:pPr>
      <w:rPr>
        <w:rFonts w:hint="default"/>
      </w:rPr>
    </w:lvl>
    <w:lvl w:ilvl="6" w:tplc="C9B6EFFA">
      <w:start w:val="1"/>
      <w:numFmt w:val="bullet"/>
      <w:lvlText w:val="•"/>
      <w:lvlJc w:val="left"/>
      <w:pPr>
        <w:ind w:left="7032" w:hanging="716"/>
      </w:pPr>
      <w:rPr>
        <w:rFonts w:hint="default"/>
      </w:rPr>
    </w:lvl>
    <w:lvl w:ilvl="7" w:tplc="08FC0F36">
      <w:start w:val="1"/>
      <w:numFmt w:val="bullet"/>
      <w:lvlText w:val="•"/>
      <w:lvlJc w:val="left"/>
      <w:pPr>
        <w:ind w:left="7949" w:hanging="716"/>
      </w:pPr>
      <w:rPr>
        <w:rFonts w:hint="default"/>
      </w:rPr>
    </w:lvl>
    <w:lvl w:ilvl="8" w:tplc="020E13CE">
      <w:start w:val="1"/>
      <w:numFmt w:val="bullet"/>
      <w:lvlText w:val="•"/>
      <w:lvlJc w:val="left"/>
      <w:pPr>
        <w:ind w:left="8866" w:hanging="716"/>
      </w:pPr>
      <w:rPr>
        <w:rFonts w:hint="default"/>
      </w:rPr>
    </w:lvl>
  </w:abstractNum>
  <w:abstractNum w:abstractNumId="3" w15:restartNumberingAfterBreak="0">
    <w:nsid w:val="0DAA579F"/>
    <w:multiLevelType w:val="hybridMultilevel"/>
    <w:tmpl w:val="7B2836C2"/>
    <w:lvl w:ilvl="0" w:tplc="09B4AB82">
      <w:start w:val="12"/>
      <w:numFmt w:val="decimal"/>
      <w:lvlText w:val="%1."/>
      <w:lvlJc w:val="left"/>
      <w:pPr>
        <w:ind w:left="838" w:hanging="706"/>
      </w:pPr>
      <w:rPr>
        <w:rFonts w:ascii="Times New Roman" w:eastAsia="Times New Roman" w:hAnsi="Times New Roman" w:hint="default"/>
        <w:sz w:val="24"/>
        <w:szCs w:val="24"/>
      </w:rPr>
    </w:lvl>
    <w:lvl w:ilvl="1" w:tplc="4D3A2A86">
      <w:start w:val="1"/>
      <w:numFmt w:val="bullet"/>
      <w:lvlText w:val="•"/>
      <w:lvlJc w:val="left"/>
      <w:pPr>
        <w:ind w:left="1839" w:hanging="706"/>
      </w:pPr>
      <w:rPr>
        <w:rFonts w:hint="default"/>
      </w:rPr>
    </w:lvl>
    <w:lvl w:ilvl="2" w:tplc="9C5C1252">
      <w:start w:val="1"/>
      <w:numFmt w:val="bullet"/>
      <w:lvlText w:val="•"/>
      <w:lvlJc w:val="left"/>
      <w:pPr>
        <w:ind w:left="2841" w:hanging="706"/>
      </w:pPr>
      <w:rPr>
        <w:rFonts w:hint="default"/>
      </w:rPr>
    </w:lvl>
    <w:lvl w:ilvl="3" w:tplc="169A85D6">
      <w:start w:val="1"/>
      <w:numFmt w:val="bullet"/>
      <w:lvlText w:val="•"/>
      <w:lvlJc w:val="left"/>
      <w:pPr>
        <w:ind w:left="3843" w:hanging="706"/>
      </w:pPr>
      <w:rPr>
        <w:rFonts w:hint="default"/>
      </w:rPr>
    </w:lvl>
    <w:lvl w:ilvl="4" w:tplc="FAEA8356">
      <w:start w:val="1"/>
      <w:numFmt w:val="bullet"/>
      <w:lvlText w:val="•"/>
      <w:lvlJc w:val="left"/>
      <w:pPr>
        <w:ind w:left="4844" w:hanging="706"/>
      </w:pPr>
      <w:rPr>
        <w:rFonts w:hint="default"/>
      </w:rPr>
    </w:lvl>
    <w:lvl w:ilvl="5" w:tplc="EE04B810">
      <w:start w:val="1"/>
      <w:numFmt w:val="bullet"/>
      <w:lvlText w:val="•"/>
      <w:lvlJc w:val="left"/>
      <w:pPr>
        <w:ind w:left="5846" w:hanging="706"/>
      </w:pPr>
      <w:rPr>
        <w:rFonts w:hint="default"/>
      </w:rPr>
    </w:lvl>
    <w:lvl w:ilvl="6" w:tplc="E946B36E">
      <w:start w:val="1"/>
      <w:numFmt w:val="bullet"/>
      <w:lvlText w:val="•"/>
      <w:lvlJc w:val="left"/>
      <w:pPr>
        <w:ind w:left="6847" w:hanging="706"/>
      </w:pPr>
      <w:rPr>
        <w:rFonts w:hint="default"/>
      </w:rPr>
    </w:lvl>
    <w:lvl w:ilvl="7" w:tplc="38E624E4">
      <w:start w:val="1"/>
      <w:numFmt w:val="bullet"/>
      <w:lvlText w:val="•"/>
      <w:lvlJc w:val="left"/>
      <w:pPr>
        <w:ind w:left="7849" w:hanging="706"/>
      </w:pPr>
      <w:rPr>
        <w:rFonts w:hint="default"/>
      </w:rPr>
    </w:lvl>
    <w:lvl w:ilvl="8" w:tplc="BDB69DC2">
      <w:start w:val="1"/>
      <w:numFmt w:val="bullet"/>
      <w:lvlText w:val="•"/>
      <w:lvlJc w:val="left"/>
      <w:pPr>
        <w:ind w:left="8850" w:hanging="706"/>
      </w:pPr>
      <w:rPr>
        <w:rFonts w:hint="default"/>
      </w:rPr>
    </w:lvl>
  </w:abstractNum>
  <w:abstractNum w:abstractNumId="4" w15:restartNumberingAfterBreak="0">
    <w:nsid w:val="32B924A6"/>
    <w:multiLevelType w:val="hybridMultilevel"/>
    <w:tmpl w:val="526AFED0"/>
    <w:lvl w:ilvl="0" w:tplc="6C962AEA">
      <w:start w:val="2"/>
      <w:numFmt w:val="upperRoman"/>
      <w:lvlText w:val="%1."/>
      <w:lvlJc w:val="left"/>
      <w:pPr>
        <w:ind w:left="3975" w:hanging="480"/>
        <w:jc w:val="right"/>
      </w:pPr>
      <w:rPr>
        <w:rFonts w:ascii="Times New Roman" w:eastAsia="Times New Roman" w:hAnsi="Times New Roman" w:hint="default"/>
        <w:b/>
        <w:bCs/>
        <w:sz w:val="23"/>
        <w:szCs w:val="23"/>
      </w:rPr>
    </w:lvl>
    <w:lvl w:ilvl="1" w:tplc="D4426D4C">
      <w:start w:val="1"/>
      <w:numFmt w:val="bullet"/>
      <w:lvlText w:val="•"/>
      <w:lvlJc w:val="left"/>
      <w:pPr>
        <w:ind w:left="4647" w:hanging="480"/>
      </w:pPr>
      <w:rPr>
        <w:rFonts w:hint="default"/>
      </w:rPr>
    </w:lvl>
    <w:lvl w:ilvl="2" w:tplc="7E06519A">
      <w:start w:val="1"/>
      <w:numFmt w:val="bullet"/>
      <w:lvlText w:val="•"/>
      <w:lvlJc w:val="left"/>
      <w:pPr>
        <w:ind w:left="5319" w:hanging="480"/>
      </w:pPr>
      <w:rPr>
        <w:rFonts w:hint="default"/>
      </w:rPr>
    </w:lvl>
    <w:lvl w:ilvl="3" w:tplc="F1A27A28">
      <w:start w:val="1"/>
      <w:numFmt w:val="bullet"/>
      <w:lvlText w:val="•"/>
      <w:lvlJc w:val="left"/>
      <w:pPr>
        <w:ind w:left="5991" w:hanging="480"/>
      </w:pPr>
      <w:rPr>
        <w:rFonts w:hint="default"/>
      </w:rPr>
    </w:lvl>
    <w:lvl w:ilvl="4" w:tplc="C7D494E8">
      <w:start w:val="1"/>
      <w:numFmt w:val="bullet"/>
      <w:lvlText w:val="•"/>
      <w:lvlJc w:val="left"/>
      <w:pPr>
        <w:ind w:left="6664" w:hanging="480"/>
      </w:pPr>
      <w:rPr>
        <w:rFonts w:hint="default"/>
      </w:rPr>
    </w:lvl>
    <w:lvl w:ilvl="5" w:tplc="0428CF68">
      <w:start w:val="1"/>
      <w:numFmt w:val="bullet"/>
      <w:lvlText w:val="•"/>
      <w:lvlJc w:val="left"/>
      <w:pPr>
        <w:ind w:left="7336" w:hanging="480"/>
      </w:pPr>
      <w:rPr>
        <w:rFonts w:hint="default"/>
      </w:rPr>
    </w:lvl>
    <w:lvl w:ilvl="6" w:tplc="554C9BA2">
      <w:start w:val="1"/>
      <w:numFmt w:val="bullet"/>
      <w:lvlText w:val="•"/>
      <w:lvlJc w:val="left"/>
      <w:pPr>
        <w:ind w:left="8008" w:hanging="480"/>
      </w:pPr>
      <w:rPr>
        <w:rFonts w:hint="default"/>
      </w:rPr>
    </w:lvl>
    <w:lvl w:ilvl="7" w:tplc="03CCF354">
      <w:start w:val="1"/>
      <w:numFmt w:val="bullet"/>
      <w:lvlText w:val="•"/>
      <w:lvlJc w:val="left"/>
      <w:pPr>
        <w:ind w:left="8681" w:hanging="480"/>
      </w:pPr>
      <w:rPr>
        <w:rFonts w:hint="default"/>
      </w:rPr>
    </w:lvl>
    <w:lvl w:ilvl="8" w:tplc="8FF2D6BA">
      <w:start w:val="1"/>
      <w:numFmt w:val="bullet"/>
      <w:lvlText w:val="•"/>
      <w:lvlJc w:val="left"/>
      <w:pPr>
        <w:ind w:left="9353" w:hanging="480"/>
      </w:pPr>
      <w:rPr>
        <w:rFonts w:hint="default"/>
      </w:rPr>
    </w:lvl>
  </w:abstractNum>
  <w:abstractNum w:abstractNumId="5" w15:restartNumberingAfterBreak="0">
    <w:nsid w:val="331D1395"/>
    <w:multiLevelType w:val="hybridMultilevel"/>
    <w:tmpl w:val="F190BA24"/>
    <w:lvl w:ilvl="0" w:tplc="A6CEAD04">
      <w:start w:val="69"/>
      <w:numFmt w:val="decimal"/>
      <w:lvlText w:val="%1."/>
      <w:lvlJc w:val="left"/>
      <w:pPr>
        <w:ind w:left="840" w:hanging="716"/>
      </w:pPr>
      <w:rPr>
        <w:rFonts w:ascii="Times New Roman" w:eastAsia="Times New Roman" w:hAnsi="Times New Roman" w:hint="default"/>
        <w:w w:val="103"/>
        <w:sz w:val="23"/>
        <w:szCs w:val="23"/>
      </w:rPr>
    </w:lvl>
    <w:lvl w:ilvl="1" w:tplc="EA7C1942">
      <w:start w:val="1"/>
      <w:numFmt w:val="bullet"/>
      <w:lvlText w:val="•"/>
      <w:lvlJc w:val="left"/>
      <w:pPr>
        <w:ind w:left="1826" w:hanging="716"/>
      </w:pPr>
      <w:rPr>
        <w:rFonts w:hint="default"/>
      </w:rPr>
    </w:lvl>
    <w:lvl w:ilvl="2" w:tplc="5D34EAE8">
      <w:start w:val="1"/>
      <w:numFmt w:val="bullet"/>
      <w:lvlText w:val="•"/>
      <w:lvlJc w:val="left"/>
      <w:pPr>
        <w:ind w:left="2812" w:hanging="716"/>
      </w:pPr>
      <w:rPr>
        <w:rFonts w:hint="default"/>
      </w:rPr>
    </w:lvl>
    <w:lvl w:ilvl="3" w:tplc="76D2CEC4">
      <w:start w:val="1"/>
      <w:numFmt w:val="bullet"/>
      <w:lvlText w:val="•"/>
      <w:lvlJc w:val="left"/>
      <w:pPr>
        <w:ind w:left="3798" w:hanging="716"/>
      </w:pPr>
      <w:rPr>
        <w:rFonts w:hint="default"/>
      </w:rPr>
    </w:lvl>
    <w:lvl w:ilvl="4" w:tplc="BD7E0A5A">
      <w:start w:val="1"/>
      <w:numFmt w:val="bullet"/>
      <w:lvlText w:val="•"/>
      <w:lvlJc w:val="left"/>
      <w:pPr>
        <w:ind w:left="4784" w:hanging="716"/>
      </w:pPr>
      <w:rPr>
        <w:rFonts w:hint="default"/>
      </w:rPr>
    </w:lvl>
    <w:lvl w:ilvl="5" w:tplc="70BC5EFC">
      <w:start w:val="1"/>
      <w:numFmt w:val="bullet"/>
      <w:lvlText w:val="•"/>
      <w:lvlJc w:val="left"/>
      <w:pPr>
        <w:ind w:left="5770" w:hanging="716"/>
      </w:pPr>
      <w:rPr>
        <w:rFonts w:hint="default"/>
      </w:rPr>
    </w:lvl>
    <w:lvl w:ilvl="6" w:tplc="87A6751E">
      <w:start w:val="1"/>
      <w:numFmt w:val="bullet"/>
      <w:lvlText w:val="•"/>
      <w:lvlJc w:val="left"/>
      <w:pPr>
        <w:ind w:left="6756" w:hanging="716"/>
      </w:pPr>
      <w:rPr>
        <w:rFonts w:hint="default"/>
      </w:rPr>
    </w:lvl>
    <w:lvl w:ilvl="7" w:tplc="6840DDA8">
      <w:start w:val="1"/>
      <w:numFmt w:val="bullet"/>
      <w:lvlText w:val="•"/>
      <w:lvlJc w:val="left"/>
      <w:pPr>
        <w:ind w:left="7742" w:hanging="716"/>
      </w:pPr>
      <w:rPr>
        <w:rFonts w:hint="default"/>
      </w:rPr>
    </w:lvl>
    <w:lvl w:ilvl="8" w:tplc="1FEE30B4">
      <w:start w:val="1"/>
      <w:numFmt w:val="bullet"/>
      <w:lvlText w:val="•"/>
      <w:lvlJc w:val="left"/>
      <w:pPr>
        <w:ind w:left="8728" w:hanging="716"/>
      </w:pPr>
      <w:rPr>
        <w:rFonts w:hint="default"/>
      </w:rPr>
    </w:lvl>
  </w:abstractNum>
  <w:abstractNum w:abstractNumId="6" w15:restartNumberingAfterBreak="0">
    <w:nsid w:val="339404DA"/>
    <w:multiLevelType w:val="hybridMultilevel"/>
    <w:tmpl w:val="B07AD586"/>
    <w:lvl w:ilvl="0" w:tplc="6DAC01EC">
      <w:start w:val="1"/>
      <w:numFmt w:val="decimal"/>
      <w:lvlText w:val="%1."/>
      <w:lvlJc w:val="left"/>
      <w:pPr>
        <w:ind w:left="720" w:hanging="360"/>
      </w:pPr>
    </w:lvl>
    <w:lvl w:ilvl="1" w:tplc="FD148E66" w:tentative="1">
      <w:start w:val="1"/>
      <w:numFmt w:val="lowerLetter"/>
      <w:lvlText w:val="%2."/>
      <w:lvlJc w:val="left"/>
      <w:pPr>
        <w:ind w:left="1440" w:hanging="360"/>
      </w:pPr>
    </w:lvl>
    <w:lvl w:ilvl="2" w:tplc="41E0BB1C" w:tentative="1">
      <w:start w:val="1"/>
      <w:numFmt w:val="lowerRoman"/>
      <w:lvlText w:val="%3."/>
      <w:lvlJc w:val="right"/>
      <w:pPr>
        <w:ind w:left="2160" w:hanging="180"/>
      </w:pPr>
    </w:lvl>
    <w:lvl w:ilvl="3" w:tplc="CF7688E6" w:tentative="1">
      <w:start w:val="1"/>
      <w:numFmt w:val="decimal"/>
      <w:lvlText w:val="%4."/>
      <w:lvlJc w:val="left"/>
      <w:pPr>
        <w:ind w:left="2880" w:hanging="360"/>
      </w:pPr>
    </w:lvl>
    <w:lvl w:ilvl="4" w:tplc="447CD910" w:tentative="1">
      <w:start w:val="1"/>
      <w:numFmt w:val="lowerLetter"/>
      <w:lvlText w:val="%5."/>
      <w:lvlJc w:val="left"/>
      <w:pPr>
        <w:ind w:left="3600" w:hanging="360"/>
      </w:pPr>
    </w:lvl>
    <w:lvl w:ilvl="5" w:tplc="BBA657FE" w:tentative="1">
      <w:start w:val="1"/>
      <w:numFmt w:val="lowerRoman"/>
      <w:lvlText w:val="%6."/>
      <w:lvlJc w:val="right"/>
      <w:pPr>
        <w:ind w:left="4320" w:hanging="180"/>
      </w:pPr>
    </w:lvl>
    <w:lvl w:ilvl="6" w:tplc="1206BB24" w:tentative="1">
      <w:start w:val="1"/>
      <w:numFmt w:val="decimal"/>
      <w:lvlText w:val="%7."/>
      <w:lvlJc w:val="left"/>
      <w:pPr>
        <w:ind w:left="5040" w:hanging="360"/>
      </w:pPr>
    </w:lvl>
    <w:lvl w:ilvl="7" w:tplc="E9BEA51A" w:tentative="1">
      <w:start w:val="1"/>
      <w:numFmt w:val="lowerLetter"/>
      <w:lvlText w:val="%8."/>
      <w:lvlJc w:val="left"/>
      <w:pPr>
        <w:ind w:left="5760" w:hanging="360"/>
      </w:pPr>
    </w:lvl>
    <w:lvl w:ilvl="8" w:tplc="5C72E768" w:tentative="1">
      <w:start w:val="1"/>
      <w:numFmt w:val="lowerRoman"/>
      <w:lvlText w:val="%9."/>
      <w:lvlJc w:val="right"/>
      <w:pPr>
        <w:ind w:left="6480" w:hanging="180"/>
      </w:pPr>
    </w:lvl>
  </w:abstractNum>
  <w:abstractNum w:abstractNumId="7" w15:restartNumberingAfterBreak="0">
    <w:nsid w:val="35053E6B"/>
    <w:multiLevelType w:val="hybridMultilevel"/>
    <w:tmpl w:val="A6E42712"/>
    <w:lvl w:ilvl="0" w:tplc="8C844B3A">
      <w:start w:val="1"/>
      <w:numFmt w:val="decimal"/>
      <w:lvlText w:val="%1."/>
      <w:lvlJc w:val="left"/>
      <w:pPr>
        <w:ind w:left="848" w:hanging="700"/>
      </w:pPr>
      <w:rPr>
        <w:rFonts w:ascii="Times New Roman" w:eastAsia="Times New Roman" w:hAnsi="Times New Roman" w:hint="default"/>
        <w:w w:val="101"/>
        <w:sz w:val="24"/>
        <w:szCs w:val="24"/>
      </w:rPr>
    </w:lvl>
    <w:lvl w:ilvl="1" w:tplc="7B920368">
      <w:start w:val="1"/>
      <w:numFmt w:val="lowerLetter"/>
      <w:lvlText w:val="(%2)"/>
      <w:lvlJc w:val="left"/>
      <w:pPr>
        <w:ind w:left="1562" w:hanging="719"/>
      </w:pPr>
      <w:rPr>
        <w:rFonts w:ascii="Times New Roman" w:eastAsia="Times New Roman" w:hAnsi="Times New Roman" w:hint="default"/>
        <w:w w:val="97"/>
        <w:sz w:val="24"/>
        <w:szCs w:val="24"/>
      </w:rPr>
    </w:lvl>
    <w:lvl w:ilvl="2" w:tplc="0006355E">
      <w:start w:val="1"/>
      <w:numFmt w:val="bullet"/>
      <w:lvlText w:val="•"/>
      <w:lvlJc w:val="left"/>
      <w:pPr>
        <w:ind w:left="2609" w:hanging="719"/>
      </w:pPr>
      <w:rPr>
        <w:rFonts w:hint="default"/>
      </w:rPr>
    </w:lvl>
    <w:lvl w:ilvl="3" w:tplc="CD60824C">
      <w:start w:val="1"/>
      <w:numFmt w:val="bullet"/>
      <w:lvlText w:val="•"/>
      <w:lvlJc w:val="left"/>
      <w:pPr>
        <w:ind w:left="3657" w:hanging="719"/>
      </w:pPr>
      <w:rPr>
        <w:rFonts w:hint="default"/>
      </w:rPr>
    </w:lvl>
    <w:lvl w:ilvl="4" w:tplc="226E2F26">
      <w:start w:val="1"/>
      <w:numFmt w:val="bullet"/>
      <w:lvlText w:val="•"/>
      <w:lvlJc w:val="left"/>
      <w:pPr>
        <w:ind w:left="4705" w:hanging="719"/>
      </w:pPr>
      <w:rPr>
        <w:rFonts w:hint="default"/>
      </w:rPr>
    </w:lvl>
    <w:lvl w:ilvl="5" w:tplc="269EBFA8">
      <w:start w:val="1"/>
      <w:numFmt w:val="bullet"/>
      <w:lvlText w:val="•"/>
      <w:lvlJc w:val="left"/>
      <w:pPr>
        <w:ind w:left="5752" w:hanging="719"/>
      </w:pPr>
      <w:rPr>
        <w:rFonts w:hint="default"/>
      </w:rPr>
    </w:lvl>
    <w:lvl w:ilvl="6" w:tplc="10FA8A66">
      <w:start w:val="1"/>
      <w:numFmt w:val="bullet"/>
      <w:lvlText w:val="•"/>
      <w:lvlJc w:val="left"/>
      <w:pPr>
        <w:ind w:left="6800" w:hanging="719"/>
      </w:pPr>
      <w:rPr>
        <w:rFonts w:hint="default"/>
      </w:rPr>
    </w:lvl>
    <w:lvl w:ilvl="7" w:tplc="D2FA7582">
      <w:start w:val="1"/>
      <w:numFmt w:val="bullet"/>
      <w:lvlText w:val="•"/>
      <w:lvlJc w:val="left"/>
      <w:pPr>
        <w:ind w:left="7848" w:hanging="719"/>
      </w:pPr>
      <w:rPr>
        <w:rFonts w:hint="default"/>
      </w:rPr>
    </w:lvl>
    <w:lvl w:ilvl="8" w:tplc="8FC4F836">
      <w:start w:val="1"/>
      <w:numFmt w:val="bullet"/>
      <w:lvlText w:val="•"/>
      <w:lvlJc w:val="left"/>
      <w:pPr>
        <w:ind w:left="8895" w:hanging="719"/>
      </w:pPr>
      <w:rPr>
        <w:rFonts w:hint="default"/>
      </w:rPr>
    </w:lvl>
  </w:abstractNum>
  <w:abstractNum w:abstractNumId="8" w15:restartNumberingAfterBreak="0">
    <w:nsid w:val="38ED1F3A"/>
    <w:multiLevelType w:val="hybridMultilevel"/>
    <w:tmpl w:val="6CC43B82"/>
    <w:lvl w:ilvl="0" w:tplc="DD1C1096">
      <w:start w:val="79"/>
      <w:numFmt w:val="decimal"/>
      <w:lvlText w:val="%1."/>
      <w:lvlJc w:val="left"/>
      <w:pPr>
        <w:ind w:left="833" w:hanging="714"/>
      </w:pPr>
      <w:rPr>
        <w:rFonts w:ascii="Times New Roman" w:eastAsia="Times New Roman" w:hAnsi="Times New Roman" w:hint="default"/>
        <w:w w:val="98"/>
        <w:sz w:val="24"/>
        <w:szCs w:val="24"/>
      </w:rPr>
    </w:lvl>
    <w:lvl w:ilvl="1" w:tplc="CC52E9E2">
      <w:start w:val="1"/>
      <w:numFmt w:val="bullet"/>
      <w:lvlText w:val="•"/>
      <w:lvlJc w:val="left"/>
      <w:pPr>
        <w:ind w:left="1833" w:hanging="714"/>
      </w:pPr>
      <w:rPr>
        <w:rFonts w:hint="default"/>
      </w:rPr>
    </w:lvl>
    <w:lvl w:ilvl="2" w:tplc="2F041A46">
      <w:start w:val="1"/>
      <w:numFmt w:val="bullet"/>
      <w:lvlText w:val="•"/>
      <w:lvlJc w:val="left"/>
      <w:pPr>
        <w:ind w:left="2833" w:hanging="714"/>
      </w:pPr>
      <w:rPr>
        <w:rFonts w:hint="default"/>
      </w:rPr>
    </w:lvl>
    <w:lvl w:ilvl="3" w:tplc="66C2BDE6">
      <w:start w:val="1"/>
      <w:numFmt w:val="bullet"/>
      <w:lvlText w:val="•"/>
      <w:lvlJc w:val="left"/>
      <w:pPr>
        <w:ind w:left="3833" w:hanging="714"/>
      </w:pPr>
      <w:rPr>
        <w:rFonts w:hint="default"/>
      </w:rPr>
    </w:lvl>
    <w:lvl w:ilvl="4" w:tplc="CFC2E32E">
      <w:start w:val="1"/>
      <w:numFmt w:val="bullet"/>
      <w:lvlText w:val="•"/>
      <w:lvlJc w:val="left"/>
      <w:pPr>
        <w:ind w:left="4833" w:hanging="714"/>
      </w:pPr>
      <w:rPr>
        <w:rFonts w:hint="default"/>
      </w:rPr>
    </w:lvl>
    <w:lvl w:ilvl="5" w:tplc="DED29DC6">
      <w:start w:val="1"/>
      <w:numFmt w:val="bullet"/>
      <w:lvlText w:val="•"/>
      <w:lvlJc w:val="left"/>
      <w:pPr>
        <w:ind w:left="5833" w:hanging="714"/>
      </w:pPr>
      <w:rPr>
        <w:rFonts w:hint="default"/>
      </w:rPr>
    </w:lvl>
    <w:lvl w:ilvl="6" w:tplc="340C1BE6">
      <w:start w:val="1"/>
      <w:numFmt w:val="bullet"/>
      <w:lvlText w:val="•"/>
      <w:lvlJc w:val="left"/>
      <w:pPr>
        <w:ind w:left="6833" w:hanging="714"/>
      </w:pPr>
      <w:rPr>
        <w:rFonts w:hint="default"/>
      </w:rPr>
    </w:lvl>
    <w:lvl w:ilvl="7" w:tplc="B6D6E232">
      <w:start w:val="1"/>
      <w:numFmt w:val="bullet"/>
      <w:lvlText w:val="•"/>
      <w:lvlJc w:val="left"/>
      <w:pPr>
        <w:ind w:left="7833" w:hanging="714"/>
      </w:pPr>
      <w:rPr>
        <w:rFonts w:hint="default"/>
      </w:rPr>
    </w:lvl>
    <w:lvl w:ilvl="8" w:tplc="47588532">
      <w:start w:val="1"/>
      <w:numFmt w:val="bullet"/>
      <w:lvlText w:val="•"/>
      <w:lvlJc w:val="left"/>
      <w:pPr>
        <w:ind w:left="8833" w:hanging="714"/>
      </w:pPr>
      <w:rPr>
        <w:rFonts w:hint="default"/>
      </w:rPr>
    </w:lvl>
  </w:abstractNum>
  <w:abstractNum w:abstractNumId="9" w15:restartNumberingAfterBreak="0">
    <w:nsid w:val="39A52120"/>
    <w:multiLevelType w:val="hybridMultilevel"/>
    <w:tmpl w:val="0832B636"/>
    <w:lvl w:ilvl="0" w:tplc="F7A2B9E4">
      <w:start w:val="1"/>
      <w:numFmt w:val="decimal"/>
      <w:pStyle w:val="OPNumber"/>
      <w:lvlText w:val="%1."/>
      <w:lvlJc w:val="left"/>
      <w:pPr>
        <w:ind w:left="720" w:hanging="360"/>
      </w:pPr>
      <w:rPr>
        <w:rFonts w:ascii="Times New Roman" w:hAnsi="Times New Roman" w:hint="default"/>
        <w:b w:val="0"/>
        <w:i w:val="0"/>
        <w:caps w:val="0"/>
        <w:strike w:val="0"/>
        <w:dstrike w:val="0"/>
        <w:vanish w:val="0"/>
        <w:sz w:val="24"/>
        <w:vertAlign w:val="baseline"/>
      </w:rPr>
    </w:lvl>
    <w:lvl w:ilvl="1" w:tplc="03EA7BA2" w:tentative="1">
      <w:start w:val="1"/>
      <w:numFmt w:val="lowerLetter"/>
      <w:lvlText w:val="%2."/>
      <w:lvlJc w:val="left"/>
      <w:pPr>
        <w:ind w:left="1440" w:hanging="360"/>
      </w:pPr>
    </w:lvl>
    <w:lvl w:ilvl="2" w:tplc="6FF8E6B4" w:tentative="1">
      <w:start w:val="1"/>
      <w:numFmt w:val="lowerRoman"/>
      <w:lvlText w:val="%3."/>
      <w:lvlJc w:val="right"/>
      <w:pPr>
        <w:ind w:left="2160" w:hanging="180"/>
      </w:pPr>
    </w:lvl>
    <w:lvl w:ilvl="3" w:tplc="1F986074" w:tentative="1">
      <w:start w:val="1"/>
      <w:numFmt w:val="decimal"/>
      <w:lvlText w:val="%4."/>
      <w:lvlJc w:val="left"/>
      <w:pPr>
        <w:ind w:left="2880" w:hanging="360"/>
      </w:pPr>
    </w:lvl>
    <w:lvl w:ilvl="4" w:tplc="AD5AF724" w:tentative="1">
      <w:start w:val="1"/>
      <w:numFmt w:val="lowerLetter"/>
      <w:lvlText w:val="%5."/>
      <w:lvlJc w:val="left"/>
      <w:pPr>
        <w:ind w:left="3600" w:hanging="360"/>
      </w:pPr>
    </w:lvl>
    <w:lvl w:ilvl="5" w:tplc="C9C660C4" w:tentative="1">
      <w:start w:val="1"/>
      <w:numFmt w:val="lowerRoman"/>
      <w:lvlText w:val="%6."/>
      <w:lvlJc w:val="right"/>
      <w:pPr>
        <w:ind w:left="4320" w:hanging="180"/>
      </w:pPr>
    </w:lvl>
    <w:lvl w:ilvl="6" w:tplc="95BA7D96" w:tentative="1">
      <w:start w:val="1"/>
      <w:numFmt w:val="decimal"/>
      <w:lvlText w:val="%7."/>
      <w:lvlJc w:val="left"/>
      <w:pPr>
        <w:ind w:left="5040" w:hanging="360"/>
      </w:pPr>
    </w:lvl>
    <w:lvl w:ilvl="7" w:tplc="7A685D36" w:tentative="1">
      <w:start w:val="1"/>
      <w:numFmt w:val="lowerLetter"/>
      <w:lvlText w:val="%8."/>
      <w:lvlJc w:val="left"/>
      <w:pPr>
        <w:ind w:left="5760" w:hanging="360"/>
      </w:pPr>
    </w:lvl>
    <w:lvl w:ilvl="8" w:tplc="3F529ED6" w:tentative="1">
      <w:start w:val="1"/>
      <w:numFmt w:val="lowerRoman"/>
      <w:lvlText w:val="%9."/>
      <w:lvlJc w:val="right"/>
      <w:pPr>
        <w:ind w:left="6480" w:hanging="180"/>
      </w:pPr>
    </w:lvl>
  </w:abstractNum>
  <w:abstractNum w:abstractNumId="10" w15:restartNumberingAfterBreak="0">
    <w:nsid w:val="39A77AFE"/>
    <w:multiLevelType w:val="hybridMultilevel"/>
    <w:tmpl w:val="81E0DC58"/>
    <w:lvl w:ilvl="0" w:tplc="41D02D66">
      <w:start w:val="1"/>
      <w:numFmt w:val="decimal"/>
      <w:lvlText w:val="%1."/>
      <w:lvlJc w:val="left"/>
      <w:pPr>
        <w:ind w:left="720" w:hanging="360"/>
      </w:pPr>
    </w:lvl>
    <w:lvl w:ilvl="1" w:tplc="2250C03A" w:tentative="1">
      <w:start w:val="1"/>
      <w:numFmt w:val="lowerLetter"/>
      <w:lvlText w:val="%2."/>
      <w:lvlJc w:val="left"/>
      <w:pPr>
        <w:ind w:left="1440" w:hanging="360"/>
      </w:pPr>
    </w:lvl>
    <w:lvl w:ilvl="2" w:tplc="F8FEAE4C" w:tentative="1">
      <w:start w:val="1"/>
      <w:numFmt w:val="lowerRoman"/>
      <w:lvlText w:val="%3."/>
      <w:lvlJc w:val="right"/>
      <w:pPr>
        <w:ind w:left="2160" w:hanging="180"/>
      </w:pPr>
    </w:lvl>
    <w:lvl w:ilvl="3" w:tplc="19D2CE10" w:tentative="1">
      <w:start w:val="1"/>
      <w:numFmt w:val="decimal"/>
      <w:lvlText w:val="%4."/>
      <w:lvlJc w:val="left"/>
      <w:pPr>
        <w:ind w:left="2880" w:hanging="360"/>
      </w:pPr>
    </w:lvl>
    <w:lvl w:ilvl="4" w:tplc="EB34EA0E" w:tentative="1">
      <w:start w:val="1"/>
      <w:numFmt w:val="lowerLetter"/>
      <w:lvlText w:val="%5."/>
      <w:lvlJc w:val="left"/>
      <w:pPr>
        <w:ind w:left="3600" w:hanging="360"/>
      </w:pPr>
    </w:lvl>
    <w:lvl w:ilvl="5" w:tplc="ABB00E3E" w:tentative="1">
      <w:start w:val="1"/>
      <w:numFmt w:val="lowerRoman"/>
      <w:lvlText w:val="%6."/>
      <w:lvlJc w:val="right"/>
      <w:pPr>
        <w:ind w:left="4320" w:hanging="180"/>
      </w:pPr>
    </w:lvl>
    <w:lvl w:ilvl="6" w:tplc="A42EF358" w:tentative="1">
      <w:start w:val="1"/>
      <w:numFmt w:val="decimal"/>
      <w:lvlText w:val="%7."/>
      <w:lvlJc w:val="left"/>
      <w:pPr>
        <w:ind w:left="5040" w:hanging="360"/>
      </w:pPr>
    </w:lvl>
    <w:lvl w:ilvl="7" w:tplc="01067C9A" w:tentative="1">
      <w:start w:val="1"/>
      <w:numFmt w:val="lowerLetter"/>
      <w:lvlText w:val="%8."/>
      <w:lvlJc w:val="left"/>
      <w:pPr>
        <w:ind w:left="5760" w:hanging="360"/>
      </w:pPr>
    </w:lvl>
    <w:lvl w:ilvl="8" w:tplc="BEF2DC74" w:tentative="1">
      <w:start w:val="1"/>
      <w:numFmt w:val="lowerRoman"/>
      <w:lvlText w:val="%9."/>
      <w:lvlJc w:val="right"/>
      <w:pPr>
        <w:ind w:left="6480" w:hanging="180"/>
      </w:pPr>
    </w:lvl>
  </w:abstractNum>
  <w:abstractNum w:abstractNumId="11" w15:restartNumberingAfterBreak="0">
    <w:nsid w:val="56FF3958"/>
    <w:multiLevelType w:val="hybridMultilevel"/>
    <w:tmpl w:val="4C26E4B0"/>
    <w:lvl w:ilvl="0" w:tplc="DBE6C252">
      <w:start w:val="1"/>
      <w:numFmt w:val="decimal"/>
      <w:lvlText w:val="%1."/>
      <w:lvlJc w:val="left"/>
      <w:pPr>
        <w:ind w:left="835" w:hanging="682"/>
      </w:pPr>
      <w:rPr>
        <w:rFonts w:ascii="Times New Roman" w:eastAsia="Times New Roman" w:hAnsi="Times New Roman" w:hint="default"/>
        <w:w w:val="102"/>
        <w:sz w:val="23"/>
        <w:szCs w:val="23"/>
      </w:rPr>
    </w:lvl>
    <w:lvl w:ilvl="1" w:tplc="60FE5F24">
      <w:start w:val="1"/>
      <w:numFmt w:val="bullet"/>
      <w:lvlText w:val="•"/>
      <w:lvlJc w:val="left"/>
      <w:pPr>
        <w:ind w:left="1822" w:hanging="682"/>
      </w:pPr>
      <w:rPr>
        <w:rFonts w:hint="default"/>
      </w:rPr>
    </w:lvl>
    <w:lvl w:ilvl="2" w:tplc="3B00CC08">
      <w:start w:val="1"/>
      <w:numFmt w:val="bullet"/>
      <w:lvlText w:val="•"/>
      <w:lvlJc w:val="left"/>
      <w:pPr>
        <w:ind w:left="2808" w:hanging="682"/>
      </w:pPr>
      <w:rPr>
        <w:rFonts w:hint="default"/>
      </w:rPr>
    </w:lvl>
    <w:lvl w:ilvl="3" w:tplc="E7FE87CA">
      <w:start w:val="1"/>
      <w:numFmt w:val="bullet"/>
      <w:lvlText w:val="•"/>
      <w:lvlJc w:val="left"/>
      <w:pPr>
        <w:ind w:left="3794" w:hanging="682"/>
      </w:pPr>
      <w:rPr>
        <w:rFonts w:hint="default"/>
      </w:rPr>
    </w:lvl>
    <w:lvl w:ilvl="4" w:tplc="C47C5442">
      <w:start w:val="1"/>
      <w:numFmt w:val="bullet"/>
      <w:lvlText w:val="•"/>
      <w:lvlJc w:val="left"/>
      <w:pPr>
        <w:ind w:left="4780" w:hanging="682"/>
      </w:pPr>
      <w:rPr>
        <w:rFonts w:hint="default"/>
      </w:rPr>
    </w:lvl>
    <w:lvl w:ilvl="5" w:tplc="FA16AE3C">
      <w:start w:val="1"/>
      <w:numFmt w:val="bullet"/>
      <w:lvlText w:val="•"/>
      <w:lvlJc w:val="left"/>
      <w:pPr>
        <w:ind w:left="5766" w:hanging="682"/>
      </w:pPr>
      <w:rPr>
        <w:rFonts w:hint="default"/>
      </w:rPr>
    </w:lvl>
    <w:lvl w:ilvl="6" w:tplc="CCB8435E">
      <w:start w:val="1"/>
      <w:numFmt w:val="bullet"/>
      <w:lvlText w:val="•"/>
      <w:lvlJc w:val="left"/>
      <w:pPr>
        <w:ind w:left="6753" w:hanging="682"/>
      </w:pPr>
      <w:rPr>
        <w:rFonts w:hint="default"/>
      </w:rPr>
    </w:lvl>
    <w:lvl w:ilvl="7" w:tplc="E64A68EE">
      <w:start w:val="1"/>
      <w:numFmt w:val="bullet"/>
      <w:lvlText w:val="•"/>
      <w:lvlJc w:val="left"/>
      <w:pPr>
        <w:ind w:left="7739" w:hanging="682"/>
      </w:pPr>
      <w:rPr>
        <w:rFonts w:hint="default"/>
      </w:rPr>
    </w:lvl>
    <w:lvl w:ilvl="8" w:tplc="EDE62BDA">
      <w:start w:val="1"/>
      <w:numFmt w:val="bullet"/>
      <w:lvlText w:val="•"/>
      <w:lvlJc w:val="left"/>
      <w:pPr>
        <w:ind w:left="8725" w:hanging="682"/>
      </w:pPr>
      <w:rPr>
        <w:rFonts w:hint="default"/>
      </w:rPr>
    </w:lvl>
  </w:abstractNum>
  <w:abstractNum w:abstractNumId="12" w15:restartNumberingAfterBreak="0">
    <w:nsid w:val="58370D32"/>
    <w:multiLevelType w:val="hybridMultilevel"/>
    <w:tmpl w:val="8D383F02"/>
    <w:lvl w:ilvl="0" w:tplc="A0CC4C82">
      <w:start w:val="1"/>
      <w:numFmt w:val="decimal"/>
      <w:pStyle w:val="FoFNumber"/>
      <w:lvlText w:val="%1."/>
      <w:lvlJc w:val="left"/>
      <w:pPr>
        <w:ind w:left="360" w:hanging="360"/>
      </w:pPr>
      <w:rPr>
        <w:rFonts w:ascii="Times New Roman" w:hAnsi="Times New Roman" w:hint="default"/>
        <w:b w:val="0"/>
        <w:i w:val="0"/>
        <w:caps w:val="0"/>
        <w:strike w:val="0"/>
        <w:dstrike w:val="0"/>
        <w:vanish w:val="0"/>
        <w:sz w:val="24"/>
        <w:vertAlign w:val="baseline"/>
      </w:rPr>
    </w:lvl>
    <w:lvl w:ilvl="1" w:tplc="8E6EAD5C" w:tentative="1">
      <w:start w:val="1"/>
      <w:numFmt w:val="lowerLetter"/>
      <w:lvlText w:val="%2."/>
      <w:lvlJc w:val="left"/>
      <w:pPr>
        <w:ind w:left="1440" w:hanging="360"/>
      </w:pPr>
    </w:lvl>
    <w:lvl w:ilvl="2" w:tplc="114E2CC6" w:tentative="1">
      <w:start w:val="1"/>
      <w:numFmt w:val="lowerRoman"/>
      <w:lvlText w:val="%3."/>
      <w:lvlJc w:val="right"/>
      <w:pPr>
        <w:ind w:left="2160" w:hanging="180"/>
      </w:pPr>
    </w:lvl>
    <w:lvl w:ilvl="3" w:tplc="FB7A2426" w:tentative="1">
      <w:start w:val="1"/>
      <w:numFmt w:val="decimal"/>
      <w:lvlText w:val="%4."/>
      <w:lvlJc w:val="left"/>
      <w:pPr>
        <w:ind w:left="2880" w:hanging="360"/>
      </w:pPr>
    </w:lvl>
    <w:lvl w:ilvl="4" w:tplc="1234D0DA" w:tentative="1">
      <w:start w:val="1"/>
      <w:numFmt w:val="lowerLetter"/>
      <w:lvlText w:val="%5."/>
      <w:lvlJc w:val="left"/>
      <w:pPr>
        <w:ind w:left="3600" w:hanging="360"/>
      </w:pPr>
    </w:lvl>
    <w:lvl w:ilvl="5" w:tplc="D512B484" w:tentative="1">
      <w:start w:val="1"/>
      <w:numFmt w:val="lowerRoman"/>
      <w:lvlText w:val="%6."/>
      <w:lvlJc w:val="right"/>
      <w:pPr>
        <w:ind w:left="4320" w:hanging="180"/>
      </w:pPr>
    </w:lvl>
    <w:lvl w:ilvl="6" w:tplc="D6D89EE0" w:tentative="1">
      <w:start w:val="1"/>
      <w:numFmt w:val="decimal"/>
      <w:lvlText w:val="%7."/>
      <w:lvlJc w:val="left"/>
      <w:pPr>
        <w:ind w:left="5040" w:hanging="360"/>
      </w:pPr>
    </w:lvl>
    <w:lvl w:ilvl="7" w:tplc="666CB930" w:tentative="1">
      <w:start w:val="1"/>
      <w:numFmt w:val="lowerLetter"/>
      <w:lvlText w:val="%8."/>
      <w:lvlJc w:val="left"/>
      <w:pPr>
        <w:ind w:left="5760" w:hanging="360"/>
      </w:pPr>
    </w:lvl>
    <w:lvl w:ilvl="8" w:tplc="D6F63528" w:tentative="1">
      <w:start w:val="1"/>
      <w:numFmt w:val="lowerRoman"/>
      <w:lvlText w:val="%9."/>
      <w:lvlJc w:val="right"/>
      <w:pPr>
        <w:ind w:left="6480" w:hanging="180"/>
      </w:pPr>
    </w:lvl>
  </w:abstractNum>
  <w:abstractNum w:abstractNumId="13" w15:restartNumberingAfterBreak="0">
    <w:nsid w:val="5CAB5922"/>
    <w:multiLevelType w:val="hybridMultilevel"/>
    <w:tmpl w:val="4288DE4C"/>
    <w:lvl w:ilvl="0" w:tplc="1730F962">
      <w:start w:val="1"/>
      <w:numFmt w:val="upperRoman"/>
      <w:pStyle w:val="Heading1"/>
      <w:lvlText w:val="%1."/>
      <w:lvlJc w:val="left"/>
      <w:pPr>
        <w:ind w:left="843" w:hanging="360"/>
      </w:pPr>
      <w:rPr>
        <w:rFonts w:ascii="Times New Roman Bold" w:hAnsi="Times New Roman Bold"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AE42CC6E" w:tentative="1">
      <w:start w:val="1"/>
      <w:numFmt w:val="lowerLetter"/>
      <w:lvlText w:val="%2."/>
      <w:lvlJc w:val="left"/>
      <w:pPr>
        <w:ind w:left="1563" w:hanging="360"/>
      </w:pPr>
    </w:lvl>
    <w:lvl w:ilvl="2" w:tplc="57D4D708" w:tentative="1">
      <w:start w:val="1"/>
      <w:numFmt w:val="lowerRoman"/>
      <w:lvlText w:val="%3."/>
      <w:lvlJc w:val="right"/>
      <w:pPr>
        <w:ind w:left="2283" w:hanging="180"/>
      </w:pPr>
    </w:lvl>
    <w:lvl w:ilvl="3" w:tplc="FCEA3A82" w:tentative="1">
      <w:start w:val="1"/>
      <w:numFmt w:val="decimal"/>
      <w:lvlText w:val="%4."/>
      <w:lvlJc w:val="left"/>
      <w:pPr>
        <w:ind w:left="3003" w:hanging="360"/>
      </w:pPr>
    </w:lvl>
    <w:lvl w:ilvl="4" w:tplc="1C30BEF8" w:tentative="1">
      <w:start w:val="1"/>
      <w:numFmt w:val="lowerLetter"/>
      <w:lvlText w:val="%5."/>
      <w:lvlJc w:val="left"/>
      <w:pPr>
        <w:ind w:left="3723" w:hanging="360"/>
      </w:pPr>
    </w:lvl>
    <w:lvl w:ilvl="5" w:tplc="BF92E704" w:tentative="1">
      <w:start w:val="1"/>
      <w:numFmt w:val="lowerRoman"/>
      <w:lvlText w:val="%6."/>
      <w:lvlJc w:val="right"/>
      <w:pPr>
        <w:ind w:left="4443" w:hanging="180"/>
      </w:pPr>
    </w:lvl>
    <w:lvl w:ilvl="6" w:tplc="2FB6D2D8" w:tentative="1">
      <w:start w:val="1"/>
      <w:numFmt w:val="decimal"/>
      <w:lvlText w:val="%7."/>
      <w:lvlJc w:val="left"/>
      <w:pPr>
        <w:ind w:left="5163" w:hanging="360"/>
      </w:pPr>
    </w:lvl>
    <w:lvl w:ilvl="7" w:tplc="56B6EF82" w:tentative="1">
      <w:start w:val="1"/>
      <w:numFmt w:val="lowerLetter"/>
      <w:lvlText w:val="%8."/>
      <w:lvlJc w:val="left"/>
      <w:pPr>
        <w:ind w:left="5883" w:hanging="360"/>
      </w:pPr>
    </w:lvl>
    <w:lvl w:ilvl="8" w:tplc="05723E98" w:tentative="1">
      <w:start w:val="1"/>
      <w:numFmt w:val="lowerRoman"/>
      <w:lvlText w:val="%9."/>
      <w:lvlJc w:val="right"/>
      <w:pPr>
        <w:ind w:left="6603" w:hanging="180"/>
      </w:pPr>
    </w:lvl>
  </w:abstractNum>
  <w:abstractNum w:abstractNumId="14" w15:restartNumberingAfterBreak="0">
    <w:nsid w:val="5FB72C39"/>
    <w:multiLevelType w:val="hybridMultilevel"/>
    <w:tmpl w:val="78EC9B34"/>
    <w:lvl w:ilvl="0" w:tplc="E38E730A">
      <w:start w:val="55"/>
      <w:numFmt w:val="decimal"/>
      <w:lvlText w:val="%1."/>
      <w:lvlJc w:val="left"/>
      <w:pPr>
        <w:ind w:left="844" w:hanging="711"/>
      </w:pPr>
      <w:rPr>
        <w:rFonts w:ascii="Times New Roman" w:eastAsia="Times New Roman" w:hAnsi="Times New Roman" w:hint="default"/>
        <w:w w:val="103"/>
        <w:sz w:val="23"/>
        <w:szCs w:val="23"/>
      </w:rPr>
    </w:lvl>
    <w:lvl w:ilvl="1" w:tplc="CDF0EA84">
      <w:start w:val="1"/>
      <w:numFmt w:val="bullet"/>
      <w:lvlText w:val="•"/>
      <w:lvlJc w:val="left"/>
      <w:pPr>
        <w:ind w:left="1831" w:hanging="711"/>
      </w:pPr>
      <w:rPr>
        <w:rFonts w:hint="default"/>
      </w:rPr>
    </w:lvl>
    <w:lvl w:ilvl="2" w:tplc="79786AEE">
      <w:start w:val="1"/>
      <w:numFmt w:val="bullet"/>
      <w:lvlText w:val="•"/>
      <w:lvlJc w:val="left"/>
      <w:pPr>
        <w:ind w:left="2818" w:hanging="711"/>
      </w:pPr>
      <w:rPr>
        <w:rFonts w:hint="default"/>
      </w:rPr>
    </w:lvl>
    <w:lvl w:ilvl="3" w:tplc="93443B0E">
      <w:start w:val="1"/>
      <w:numFmt w:val="bullet"/>
      <w:lvlText w:val="•"/>
      <w:lvlJc w:val="left"/>
      <w:pPr>
        <w:ind w:left="3805" w:hanging="711"/>
      </w:pPr>
      <w:rPr>
        <w:rFonts w:hint="default"/>
      </w:rPr>
    </w:lvl>
    <w:lvl w:ilvl="4" w:tplc="F1FE5056">
      <w:start w:val="1"/>
      <w:numFmt w:val="bullet"/>
      <w:lvlText w:val="•"/>
      <w:lvlJc w:val="left"/>
      <w:pPr>
        <w:ind w:left="4792" w:hanging="711"/>
      </w:pPr>
      <w:rPr>
        <w:rFonts w:hint="default"/>
      </w:rPr>
    </w:lvl>
    <w:lvl w:ilvl="5" w:tplc="6AB06C46">
      <w:start w:val="1"/>
      <w:numFmt w:val="bullet"/>
      <w:lvlText w:val="•"/>
      <w:lvlJc w:val="left"/>
      <w:pPr>
        <w:ind w:left="5780" w:hanging="711"/>
      </w:pPr>
      <w:rPr>
        <w:rFonts w:hint="default"/>
      </w:rPr>
    </w:lvl>
    <w:lvl w:ilvl="6" w:tplc="4EE41002">
      <w:start w:val="1"/>
      <w:numFmt w:val="bullet"/>
      <w:lvlText w:val="•"/>
      <w:lvlJc w:val="left"/>
      <w:pPr>
        <w:ind w:left="6767" w:hanging="711"/>
      </w:pPr>
      <w:rPr>
        <w:rFonts w:hint="default"/>
      </w:rPr>
    </w:lvl>
    <w:lvl w:ilvl="7" w:tplc="81A29DF2">
      <w:start w:val="1"/>
      <w:numFmt w:val="bullet"/>
      <w:lvlText w:val="•"/>
      <w:lvlJc w:val="left"/>
      <w:pPr>
        <w:ind w:left="7754" w:hanging="711"/>
      </w:pPr>
      <w:rPr>
        <w:rFonts w:hint="default"/>
      </w:rPr>
    </w:lvl>
    <w:lvl w:ilvl="8" w:tplc="C7B2A8EE">
      <w:start w:val="1"/>
      <w:numFmt w:val="bullet"/>
      <w:lvlText w:val="•"/>
      <w:lvlJc w:val="left"/>
      <w:pPr>
        <w:ind w:left="8741" w:hanging="711"/>
      </w:pPr>
      <w:rPr>
        <w:rFonts w:hint="default"/>
      </w:rPr>
    </w:lvl>
  </w:abstractNum>
  <w:abstractNum w:abstractNumId="15" w15:restartNumberingAfterBreak="0">
    <w:nsid w:val="611B06FF"/>
    <w:multiLevelType w:val="hybridMultilevel"/>
    <w:tmpl w:val="30327134"/>
    <w:lvl w:ilvl="0" w:tplc="048E15AC">
      <w:start w:val="1"/>
      <w:numFmt w:val="lowerLetter"/>
      <w:pStyle w:val="aList"/>
      <w:lvlText w:val="(%1)"/>
      <w:lvlJc w:val="left"/>
      <w:pPr>
        <w:ind w:left="720" w:hanging="360"/>
      </w:pPr>
      <w:rPr>
        <w:rFonts w:hint="default"/>
      </w:rPr>
    </w:lvl>
    <w:lvl w:ilvl="1" w:tplc="B0E606AC" w:tentative="1">
      <w:start w:val="1"/>
      <w:numFmt w:val="lowerLetter"/>
      <w:lvlText w:val="%2."/>
      <w:lvlJc w:val="left"/>
      <w:pPr>
        <w:ind w:left="1440" w:hanging="360"/>
      </w:pPr>
    </w:lvl>
    <w:lvl w:ilvl="2" w:tplc="71EAB958" w:tentative="1">
      <w:start w:val="1"/>
      <w:numFmt w:val="lowerRoman"/>
      <w:lvlText w:val="%3."/>
      <w:lvlJc w:val="right"/>
      <w:pPr>
        <w:ind w:left="2160" w:hanging="180"/>
      </w:pPr>
    </w:lvl>
    <w:lvl w:ilvl="3" w:tplc="179AADCC" w:tentative="1">
      <w:start w:val="1"/>
      <w:numFmt w:val="decimal"/>
      <w:lvlText w:val="%4."/>
      <w:lvlJc w:val="left"/>
      <w:pPr>
        <w:ind w:left="2880" w:hanging="360"/>
      </w:pPr>
    </w:lvl>
    <w:lvl w:ilvl="4" w:tplc="0E94A31E" w:tentative="1">
      <w:start w:val="1"/>
      <w:numFmt w:val="lowerLetter"/>
      <w:lvlText w:val="%5."/>
      <w:lvlJc w:val="left"/>
      <w:pPr>
        <w:ind w:left="3600" w:hanging="360"/>
      </w:pPr>
    </w:lvl>
    <w:lvl w:ilvl="5" w:tplc="66DA300A" w:tentative="1">
      <w:start w:val="1"/>
      <w:numFmt w:val="lowerRoman"/>
      <w:lvlText w:val="%6."/>
      <w:lvlJc w:val="right"/>
      <w:pPr>
        <w:ind w:left="4320" w:hanging="180"/>
      </w:pPr>
    </w:lvl>
    <w:lvl w:ilvl="6" w:tplc="5FA831D2" w:tentative="1">
      <w:start w:val="1"/>
      <w:numFmt w:val="decimal"/>
      <w:lvlText w:val="%7."/>
      <w:lvlJc w:val="left"/>
      <w:pPr>
        <w:ind w:left="5040" w:hanging="360"/>
      </w:pPr>
    </w:lvl>
    <w:lvl w:ilvl="7" w:tplc="C88E808A" w:tentative="1">
      <w:start w:val="1"/>
      <w:numFmt w:val="lowerLetter"/>
      <w:lvlText w:val="%8."/>
      <w:lvlJc w:val="left"/>
      <w:pPr>
        <w:ind w:left="5760" w:hanging="360"/>
      </w:pPr>
    </w:lvl>
    <w:lvl w:ilvl="8" w:tplc="C71049E2" w:tentative="1">
      <w:start w:val="1"/>
      <w:numFmt w:val="lowerRoman"/>
      <w:lvlText w:val="%9."/>
      <w:lvlJc w:val="right"/>
      <w:pPr>
        <w:ind w:left="6480" w:hanging="180"/>
      </w:pPr>
    </w:lvl>
  </w:abstractNum>
  <w:abstractNum w:abstractNumId="16" w15:restartNumberingAfterBreak="0">
    <w:nsid w:val="65DA1B28"/>
    <w:multiLevelType w:val="hybridMultilevel"/>
    <w:tmpl w:val="EA5EA252"/>
    <w:lvl w:ilvl="0" w:tplc="4FA610C0">
      <w:start w:val="6"/>
      <w:numFmt w:val="decimal"/>
      <w:lvlText w:val="%1."/>
      <w:lvlJc w:val="left"/>
      <w:pPr>
        <w:ind w:left="819" w:hanging="706"/>
      </w:pPr>
      <w:rPr>
        <w:rFonts w:ascii="Times New Roman" w:eastAsia="Times New Roman" w:hAnsi="Times New Roman" w:hint="default"/>
        <w:w w:val="103"/>
        <w:sz w:val="23"/>
        <w:szCs w:val="23"/>
      </w:rPr>
    </w:lvl>
    <w:lvl w:ilvl="1" w:tplc="15EA2DBA">
      <w:start w:val="1"/>
      <w:numFmt w:val="lowerLetter"/>
      <w:lvlText w:val="(%2)"/>
      <w:lvlJc w:val="left"/>
      <w:pPr>
        <w:ind w:left="1529" w:hanging="711"/>
      </w:pPr>
      <w:rPr>
        <w:rFonts w:ascii="Times New Roman" w:eastAsia="Times New Roman" w:hAnsi="Times New Roman" w:hint="default"/>
        <w:w w:val="104"/>
        <w:sz w:val="23"/>
        <w:szCs w:val="23"/>
      </w:rPr>
    </w:lvl>
    <w:lvl w:ilvl="2" w:tplc="BA5263BA">
      <w:start w:val="1"/>
      <w:numFmt w:val="bullet"/>
      <w:lvlText w:val="•"/>
      <w:lvlJc w:val="left"/>
      <w:pPr>
        <w:ind w:left="2548" w:hanging="711"/>
      </w:pPr>
      <w:rPr>
        <w:rFonts w:hint="default"/>
      </w:rPr>
    </w:lvl>
    <w:lvl w:ilvl="3" w:tplc="5FD872EE">
      <w:start w:val="1"/>
      <w:numFmt w:val="bullet"/>
      <w:lvlText w:val="•"/>
      <w:lvlJc w:val="left"/>
      <w:pPr>
        <w:ind w:left="3567" w:hanging="711"/>
      </w:pPr>
      <w:rPr>
        <w:rFonts w:hint="default"/>
      </w:rPr>
    </w:lvl>
    <w:lvl w:ilvl="4" w:tplc="6FE2B2B0">
      <w:start w:val="1"/>
      <w:numFmt w:val="bullet"/>
      <w:lvlText w:val="•"/>
      <w:lvlJc w:val="left"/>
      <w:pPr>
        <w:ind w:left="4586" w:hanging="711"/>
      </w:pPr>
      <w:rPr>
        <w:rFonts w:hint="default"/>
      </w:rPr>
    </w:lvl>
    <w:lvl w:ilvl="5" w:tplc="B00C5460">
      <w:start w:val="1"/>
      <w:numFmt w:val="bullet"/>
      <w:lvlText w:val="•"/>
      <w:lvlJc w:val="left"/>
      <w:pPr>
        <w:ind w:left="5605" w:hanging="711"/>
      </w:pPr>
      <w:rPr>
        <w:rFonts w:hint="default"/>
      </w:rPr>
    </w:lvl>
    <w:lvl w:ilvl="6" w:tplc="784A3DEE">
      <w:start w:val="1"/>
      <w:numFmt w:val="bullet"/>
      <w:lvlText w:val="•"/>
      <w:lvlJc w:val="left"/>
      <w:pPr>
        <w:ind w:left="6624" w:hanging="711"/>
      </w:pPr>
      <w:rPr>
        <w:rFonts w:hint="default"/>
      </w:rPr>
    </w:lvl>
    <w:lvl w:ilvl="7" w:tplc="20DC11B0">
      <w:start w:val="1"/>
      <w:numFmt w:val="bullet"/>
      <w:lvlText w:val="•"/>
      <w:lvlJc w:val="left"/>
      <w:pPr>
        <w:ind w:left="7643" w:hanging="711"/>
      </w:pPr>
      <w:rPr>
        <w:rFonts w:hint="default"/>
      </w:rPr>
    </w:lvl>
    <w:lvl w:ilvl="8" w:tplc="1368FC7C">
      <w:start w:val="1"/>
      <w:numFmt w:val="bullet"/>
      <w:lvlText w:val="•"/>
      <w:lvlJc w:val="left"/>
      <w:pPr>
        <w:ind w:left="8662" w:hanging="711"/>
      </w:pPr>
      <w:rPr>
        <w:rFonts w:hint="default"/>
      </w:rPr>
    </w:lvl>
  </w:abstractNum>
  <w:abstractNum w:abstractNumId="17" w15:restartNumberingAfterBreak="0">
    <w:nsid w:val="69E95DD8"/>
    <w:multiLevelType w:val="hybridMultilevel"/>
    <w:tmpl w:val="D8409688"/>
    <w:lvl w:ilvl="0" w:tplc="EE7C8AD6">
      <w:start w:val="10"/>
      <w:numFmt w:val="decimal"/>
      <w:lvlText w:val="%1."/>
      <w:lvlJc w:val="left"/>
      <w:pPr>
        <w:ind w:left="825" w:hanging="701"/>
      </w:pPr>
      <w:rPr>
        <w:rFonts w:ascii="Times New Roman" w:eastAsia="Times New Roman" w:hAnsi="Times New Roman" w:hint="default"/>
        <w:w w:val="98"/>
        <w:sz w:val="24"/>
        <w:szCs w:val="24"/>
      </w:rPr>
    </w:lvl>
    <w:lvl w:ilvl="1" w:tplc="C8BEAE9E">
      <w:start w:val="1"/>
      <w:numFmt w:val="lowerLetter"/>
      <w:lvlText w:val="(%2)"/>
      <w:lvlJc w:val="left"/>
      <w:pPr>
        <w:ind w:left="1537" w:hanging="706"/>
      </w:pPr>
      <w:rPr>
        <w:rFonts w:ascii="Times New Roman" w:eastAsia="Times New Roman" w:hAnsi="Times New Roman" w:hint="default"/>
        <w:sz w:val="23"/>
        <w:szCs w:val="23"/>
      </w:rPr>
    </w:lvl>
    <w:lvl w:ilvl="2" w:tplc="5176B642">
      <w:start w:val="1"/>
      <w:numFmt w:val="bullet"/>
      <w:lvlText w:val="•"/>
      <w:lvlJc w:val="left"/>
      <w:pPr>
        <w:ind w:left="1573" w:hanging="706"/>
      </w:pPr>
      <w:rPr>
        <w:rFonts w:hint="default"/>
      </w:rPr>
    </w:lvl>
    <w:lvl w:ilvl="3" w:tplc="AF28376C">
      <w:start w:val="1"/>
      <w:numFmt w:val="bullet"/>
      <w:lvlText w:val="•"/>
      <w:lvlJc w:val="left"/>
      <w:pPr>
        <w:ind w:left="2714" w:hanging="706"/>
      </w:pPr>
      <w:rPr>
        <w:rFonts w:hint="default"/>
      </w:rPr>
    </w:lvl>
    <w:lvl w:ilvl="4" w:tplc="98241D40">
      <w:start w:val="1"/>
      <w:numFmt w:val="bullet"/>
      <w:lvlText w:val="•"/>
      <w:lvlJc w:val="left"/>
      <w:pPr>
        <w:ind w:left="3855" w:hanging="706"/>
      </w:pPr>
      <w:rPr>
        <w:rFonts w:hint="default"/>
      </w:rPr>
    </w:lvl>
    <w:lvl w:ilvl="5" w:tplc="62C805DE">
      <w:start w:val="1"/>
      <w:numFmt w:val="bullet"/>
      <w:lvlText w:val="•"/>
      <w:lvlJc w:val="left"/>
      <w:pPr>
        <w:ind w:left="4995" w:hanging="706"/>
      </w:pPr>
      <w:rPr>
        <w:rFonts w:hint="default"/>
      </w:rPr>
    </w:lvl>
    <w:lvl w:ilvl="6" w:tplc="931034A4">
      <w:start w:val="1"/>
      <w:numFmt w:val="bullet"/>
      <w:lvlText w:val="•"/>
      <w:lvlJc w:val="left"/>
      <w:pPr>
        <w:ind w:left="6136" w:hanging="706"/>
      </w:pPr>
      <w:rPr>
        <w:rFonts w:hint="default"/>
      </w:rPr>
    </w:lvl>
    <w:lvl w:ilvl="7" w:tplc="02C0FF04">
      <w:start w:val="1"/>
      <w:numFmt w:val="bullet"/>
      <w:lvlText w:val="•"/>
      <w:lvlJc w:val="left"/>
      <w:pPr>
        <w:ind w:left="7277" w:hanging="706"/>
      </w:pPr>
      <w:rPr>
        <w:rFonts w:hint="default"/>
      </w:rPr>
    </w:lvl>
    <w:lvl w:ilvl="8" w:tplc="E402AC52">
      <w:start w:val="1"/>
      <w:numFmt w:val="bullet"/>
      <w:lvlText w:val="•"/>
      <w:lvlJc w:val="left"/>
      <w:pPr>
        <w:ind w:left="8418" w:hanging="706"/>
      </w:pPr>
      <w:rPr>
        <w:rFonts w:hint="default"/>
      </w:rPr>
    </w:lvl>
  </w:abstractNum>
  <w:abstractNum w:abstractNumId="18" w15:restartNumberingAfterBreak="0">
    <w:nsid w:val="7DC23DAE"/>
    <w:multiLevelType w:val="hybridMultilevel"/>
    <w:tmpl w:val="14705C00"/>
    <w:lvl w:ilvl="0" w:tplc="832A785A">
      <w:start w:val="1"/>
      <w:numFmt w:val="decimal"/>
      <w:pStyle w:val="CoLNumber"/>
      <w:lvlText w:val="%1."/>
      <w:lvlJc w:val="left"/>
      <w:pPr>
        <w:ind w:left="720" w:hanging="360"/>
      </w:pPr>
      <w:rPr>
        <w:rFonts w:ascii="Times New Roman" w:hAnsi="Times New Roman" w:hint="default"/>
        <w:b w:val="0"/>
        <w:i w:val="0"/>
        <w:caps w:val="0"/>
        <w:strike w:val="0"/>
        <w:dstrike w:val="0"/>
        <w:vanish w:val="0"/>
        <w:sz w:val="24"/>
        <w:vertAlign w:val="baseline"/>
      </w:rPr>
    </w:lvl>
    <w:lvl w:ilvl="1" w:tplc="A8928E4A" w:tentative="1">
      <w:start w:val="1"/>
      <w:numFmt w:val="lowerLetter"/>
      <w:lvlText w:val="%2."/>
      <w:lvlJc w:val="left"/>
      <w:pPr>
        <w:ind w:left="1440" w:hanging="360"/>
      </w:pPr>
    </w:lvl>
    <w:lvl w:ilvl="2" w:tplc="25660D92" w:tentative="1">
      <w:start w:val="1"/>
      <w:numFmt w:val="lowerRoman"/>
      <w:lvlText w:val="%3."/>
      <w:lvlJc w:val="right"/>
      <w:pPr>
        <w:ind w:left="2160" w:hanging="180"/>
      </w:pPr>
    </w:lvl>
    <w:lvl w:ilvl="3" w:tplc="146A7F7C" w:tentative="1">
      <w:start w:val="1"/>
      <w:numFmt w:val="decimal"/>
      <w:lvlText w:val="%4."/>
      <w:lvlJc w:val="left"/>
      <w:pPr>
        <w:ind w:left="2880" w:hanging="360"/>
      </w:pPr>
    </w:lvl>
    <w:lvl w:ilvl="4" w:tplc="262A9CCE" w:tentative="1">
      <w:start w:val="1"/>
      <w:numFmt w:val="lowerLetter"/>
      <w:lvlText w:val="%5."/>
      <w:lvlJc w:val="left"/>
      <w:pPr>
        <w:ind w:left="3600" w:hanging="360"/>
      </w:pPr>
    </w:lvl>
    <w:lvl w:ilvl="5" w:tplc="3C6414FE" w:tentative="1">
      <w:start w:val="1"/>
      <w:numFmt w:val="lowerRoman"/>
      <w:lvlText w:val="%6."/>
      <w:lvlJc w:val="right"/>
      <w:pPr>
        <w:ind w:left="4320" w:hanging="180"/>
      </w:pPr>
    </w:lvl>
    <w:lvl w:ilvl="6" w:tplc="C7EA0952" w:tentative="1">
      <w:start w:val="1"/>
      <w:numFmt w:val="decimal"/>
      <w:lvlText w:val="%7."/>
      <w:lvlJc w:val="left"/>
      <w:pPr>
        <w:ind w:left="5040" w:hanging="360"/>
      </w:pPr>
    </w:lvl>
    <w:lvl w:ilvl="7" w:tplc="093E07CE" w:tentative="1">
      <w:start w:val="1"/>
      <w:numFmt w:val="lowerLetter"/>
      <w:lvlText w:val="%8."/>
      <w:lvlJc w:val="left"/>
      <w:pPr>
        <w:ind w:left="5760" w:hanging="360"/>
      </w:pPr>
    </w:lvl>
    <w:lvl w:ilvl="8" w:tplc="DAB4A558" w:tentative="1">
      <w:start w:val="1"/>
      <w:numFmt w:val="lowerRoman"/>
      <w:lvlText w:val="%9."/>
      <w:lvlJc w:val="right"/>
      <w:pPr>
        <w:ind w:left="6480" w:hanging="180"/>
      </w:pPr>
    </w:lvl>
  </w:abstractNum>
  <w:abstractNum w:abstractNumId="19" w15:restartNumberingAfterBreak="0">
    <w:nsid w:val="7F1A583D"/>
    <w:multiLevelType w:val="hybridMultilevel"/>
    <w:tmpl w:val="B268DB2A"/>
    <w:lvl w:ilvl="0" w:tplc="00005682">
      <w:start w:val="24"/>
      <w:numFmt w:val="decimal"/>
      <w:lvlText w:val="%1."/>
      <w:lvlJc w:val="left"/>
      <w:pPr>
        <w:ind w:left="841" w:hanging="711"/>
      </w:pPr>
      <w:rPr>
        <w:rFonts w:ascii="Times New Roman" w:eastAsia="Times New Roman" w:hAnsi="Times New Roman" w:hint="default"/>
        <w:w w:val="101"/>
        <w:sz w:val="23"/>
        <w:szCs w:val="23"/>
      </w:rPr>
    </w:lvl>
    <w:lvl w:ilvl="1" w:tplc="53601130">
      <w:start w:val="1"/>
      <w:numFmt w:val="bullet"/>
      <w:lvlText w:val="•"/>
      <w:lvlJc w:val="left"/>
      <w:pPr>
        <w:ind w:left="1826" w:hanging="711"/>
      </w:pPr>
      <w:rPr>
        <w:rFonts w:hint="default"/>
      </w:rPr>
    </w:lvl>
    <w:lvl w:ilvl="2" w:tplc="E0C692B2">
      <w:start w:val="1"/>
      <w:numFmt w:val="bullet"/>
      <w:lvlText w:val="•"/>
      <w:lvlJc w:val="left"/>
      <w:pPr>
        <w:ind w:left="2812" w:hanging="711"/>
      </w:pPr>
      <w:rPr>
        <w:rFonts w:hint="default"/>
      </w:rPr>
    </w:lvl>
    <w:lvl w:ilvl="3" w:tplc="6298CBF4">
      <w:start w:val="1"/>
      <w:numFmt w:val="bullet"/>
      <w:lvlText w:val="•"/>
      <w:lvlJc w:val="left"/>
      <w:pPr>
        <w:ind w:left="3797" w:hanging="711"/>
      </w:pPr>
      <w:rPr>
        <w:rFonts w:hint="default"/>
      </w:rPr>
    </w:lvl>
    <w:lvl w:ilvl="4" w:tplc="F650EB4E">
      <w:start w:val="1"/>
      <w:numFmt w:val="bullet"/>
      <w:lvlText w:val="•"/>
      <w:lvlJc w:val="left"/>
      <w:pPr>
        <w:ind w:left="4782" w:hanging="711"/>
      </w:pPr>
      <w:rPr>
        <w:rFonts w:hint="default"/>
      </w:rPr>
    </w:lvl>
    <w:lvl w:ilvl="5" w:tplc="8FBCB7C8">
      <w:start w:val="1"/>
      <w:numFmt w:val="bullet"/>
      <w:lvlText w:val="•"/>
      <w:lvlJc w:val="left"/>
      <w:pPr>
        <w:ind w:left="5767" w:hanging="711"/>
      </w:pPr>
      <w:rPr>
        <w:rFonts w:hint="default"/>
      </w:rPr>
    </w:lvl>
    <w:lvl w:ilvl="6" w:tplc="04A0D2FE">
      <w:start w:val="1"/>
      <w:numFmt w:val="bullet"/>
      <w:lvlText w:val="•"/>
      <w:lvlJc w:val="left"/>
      <w:pPr>
        <w:ind w:left="6753" w:hanging="711"/>
      </w:pPr>
      <w:rPr>
        <w:rFonts w:hint="default"/>
      </w:rPr>
    </w:lvl>
    <w:lvl w:ilvl="7" w:tplc="0DC0C6D6">
      <w:start w:val="1"/>
      <w:numFmt w:val="bullet"/>
      <w:lvlText w:val="•"/>
      <w:lvlJc w:val="left"/>
      <w:pPr>
        <w:ind w:left="7738" w:hanging="711"/>
      </w:pPr>
      <w:rPr>
        <w:rFonts w:hint="default"/>
      </w:rPr>
    </w:lvl>
    <w:lvl w:ilvl="8" w:tplc="A142104E">
      <w:start w:val="1"/>
      <w:numFmt w:val="bullet"/>
      <w:lvlText w:val="•"/>
      <w:lvlJc w:val="left"/>
      <w:pPr>
        <w:ind w:left="8723" w:hanging="711"/>
      </w:pPr>
      <w:rPr>
        <w:rFonts w:hint="default"/>
      </w:rPr>
    </w:lvl>
  </w:abstractNum>
  <w:abstractNum w:abstractNumId="20" w15:restartNumberingAfterBreak="0">
    <w:nsid w:val="7F4D7709"/>
    <w:multiLevelType w:val="hybridMultilevel"/>
    <w:tmpl w:val="EE2A599E"/>
    <w:lvl w:ilvl="0" w:tplc="6F22F5FA">
      <w:start w:val="60"/>
      <w:numFmt w:val="decimal"/>
      <w:lvlText w:val="%1."/>
      <w:lvlJc w:val="left"/>
      <w:pPr>
        <w:ind w:left="838" w:hanging="719"/>
      </w:pPr>
      <w:rPr>
        <w:rFonts w:ascii="Times New Roman" w:eastAsia="Times New Roman" w:hAnsi="Times New Roman" w:hint="default"/>
        <w:w w:val="98"/>
        <w:sz w:val="24"/>
        <w:szCs w:val="24"/>
      </w:rPr>
    </w:lvl>
    <w:lvl w:ilvl="1" w:tplc="2304D7E6">
      <w:start w:val="1"/>
      <w:numFmt w:val="bullet"/>
      <w:lvlText w:val="•"/>
      <w:lvlJc w:val="left"/>
      <w:pPr>
        <w:ind w:left="1834" w:hanging="719"/>
      </w:pPr>
      <w:rPr>
        <w:rFonts w:hint="default"/>
      </w:rPr>
    </w:lvl>
    <w:lvl w:ilvl="2" w:tplc="2D9298C2">
      <w:start w:val="1"/>
      <w:numFmt w:val="bullet"/>
      <w:lvlText w:val="•"/>
      <w:lvlJc w:val="left"/>
      <w:pPr>
        <w:ind w:left="2831" w:hanging="719"/>
      </w:pPr>
      <w:rPr>
        <w:rFonts w:hint="default"/>
      </w:rPr>
    </w:lvl>
    <w:lvl w:ilvl="3" w:tplc="C50C0FF6">
      <w:start w:val="1"/>
      <w:numFmt w:val="bullet"/>
      <w:lvlText w:val="•"/>
      <w:lvlJc w:val="left"/>
      <w:pPr>
        <w:ind w:left="3828" w:hanging="719"/>
      </w:pPr>
      <w:rPr>
        <w:rFonts w:hint="default"/>
      </w:rPr>
    </w:lvl>
    <w:lvl w:ilvl="4" w:tplc="C4EC3AA4">
      <w:start w:val="1"/>
      <w:numFmt w:val="bullet"/>
      <w:lvlText w:val="•"/>
      <w:lvlJc w:val="left"/>
      <w:pPr>
        <w:ind w:left="4824" w:hanging="719"/>
      </w:pPr>
      <w:rPr>
        <w:rFonts w:hint="default"/>
      </w:rPr>
    </w:lvl>
    <w:lvl w:ilvl="5" w:tplc="18F490A2">
      <w:start w:val="1"/>
      <w:numFmt w:val="bullet"/>
      <w:lvlText w:val="•"/>
      <w:lvlJc w:val="left"/>
      <w:pPr>
        <w:ind w:left="5821" w:hanging="719"/>
      </w:pPr>
      <w:rPr>
        <w:rFonts w:hint="default"/>
      </w:rPr>
    </w:lvl>
    <w:lvl w:ilvl="6" w:tplc="34D42B96">
      <w:start w:val="1"/>
      <w:numFmt w:val="bullet"/>
      <w:lvlText w:val="•"/>
      <w:lvlJc w:val="left"/>
      <w:pPr>
        <w:ind w:left="6817" w:hanging="719"/>
      </w:pPr>
      <w:rPr>
        <w:rFonts w:hint="default"/>
      </w:rPr>
    </w:lvl>
    <w:lvl w:ilvl="7" w:tplc="973C5878">
      <w:start w:val="1"/>
      <w:numFmt w:val="bullet"/>
      <w:lvlText w:val="•"/>
      <w:lvlJc w:val="left"/>
      <w:pPr>
        <w:ind w:left="7814" w:hanging="719"/>
      </w:pPr>
      <w:rPr>
        <w:rFonts w:hint="default"/>
      </w:rPr>
    </w:lvl>
    <w:lvl w:ilvl="8" w:tplc="86328F12">
      <w:start w:val="1"/>
      <w:numFmt w:val="bullet"/>
      <w:lvlText w:val="•"/>
      <w:lvlJc w:val="left"/>
      <w:pPr>
        <w:ind w:left="8810" w:hanging="719"/>
      </w:pPr>
      <w:rPr>
        <w:rFonts w:hint="default"/>
      </w:rPr>
    </w:lvl>
  </w:abstractNum>
  <w:num w:numId="1">
    <w:abstractNumId w:val="0"/>
  </w:num>
  <w:num w:numId="2">
    <w:abstractNumId w:val="19"/>
  </w:num>
  <w:num w:numId="3">
    <w:abstractNumId w:val="3"/>
  </w:num>
  <w:num w:numId="4">
    <w:abstractNumId w:val="11"/>
  </w:num>
  <w:num w:numId="5">
    <w:abstractNumId w:val="4"/>
  </w:num>
  <w:num w:numId="6">
    <w:abstractNumId w:val="8"/>
  </w:num>
  <w:num w:numId="7">
    <w:abstractNumId w:val="5"/>
  </w:num>
  <w:num w:numId="8">
    <w:abstractNumId w:val="20"/>
  </w:num>
  <w:num w:numId="9">
    <w:abstractNumId w:val="14"/>
  </w:num>
  <w:num w:numId="10">
    <w:abstractNumId w:val="17"/>
  </w:num>
  <w:num w:numId="11">
    <w:abstractNumId w:val="16"/>
  </w:num>
  <w:num w:numId="12">
    <w:abstractNumId w:val="2"/>
  </w:num>
  <w:num w:numId="13">
    <w:abstractNumId w:val="7"/>
  </w:num>
  <w:num w:numId="14">
    <w:abstractNumId w:val="10"/>
  </w:num>
  <w:num w:numId="15">
    <w:abstractNumId w:val="1"/>
  </w:num>
  <w:num w:numId="16">
    <w:abstractNumId w:val="6"/>
  </w:num>
  <w:num w:numId="17">
    <w:abstractNumId w:val="15"/>
  </w:num>
  <w:num w:numId="18">
    <w:abstractNumId w:val="18"/>
  </w:num>
  <w:num w:numId="19">
    <w:abstractNumId w:val="12"/>
  </w:num>
  <w:num w:numId="20">
    <w:abstractNumId w:val="13"/>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en-US"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270"/>
    <w:rsid w:val="00001440"/>
    <w:rsid w:val="000452B2"/>
    <w:rsid w:val="00070FE8"/>
    <w:rsid w:val="001159C6"/>
    <w:rsid w:val="001F402C"/>
    <w:rsid w:val="002F256B"/>
    <w:rsid w:val="003305CA"/>
    <w:rsid w:val="00331BB3"/>
    <w:rsid w:val="0038774E"/>
    <w:rsid w:val="003B2445"/>
    <w:rsid w:val="003C731F"/>
    <w:rsid w:val="00447E5B"/>
    <w:rsid w:val="00455721"/>
    <w:rsid w:val="00495C83"/>
    <w:rsid w:val="004D5AE1"/>
    <w:rsid w:val="00571A4E"/>
    <w:rsid w:val="00573C25"/>
    <w:rsid w:val="00611919"/>
    <w:rsid w:val="006434DC"/>
    <w:rsid w:val="00683723"/>
    <w:rsid w:val="006A4F69"/>
    <w:rsid w:val="006A761E"/>
    <w:rsid w:val="006B7B4A"/>
    <w:rsid w:val="006C4892"/>
    <w:rsid w:val="006E62BC"/>
    <w:rsid w:val="007B4321"/>
    <w:rsid w:val="00862CDB"/>
    <w:rsid w:val="008630E3"/>
    <w:rsid w:val="00887B8C"/>
    <w:rsid w:val="009549D5"/>
    <w:rsid w:val="009718A7"/>
    <w:rsid w:val="009C2CDD"/>
    <w:rsid w:val="00A34F89"/>
    <w:rsid w:val="00AC4270"/>
    <w:rsid w:val="00B57870"/>
    <w:rsid w:val="00B70A85"/>
    <w:rsid w:val="00B73020"/>
    <w:rsid w:val="00BB7198"/>
    <w:rsid w:val="00BC043E"/>
    <w:rsid w:val="00D04DE1"/>
    <w:rsid w:val="00D80772"/>
    <w:rsid w:val="00DE542A"/>
    <w:rsid w:val="00DF7750"/>
    <w:rsid w:val="00E24D1C"/>
    <w:rsid w:val="00E605A5"/>
    <w:rsid w:val="00EF6CAE"/>
    <w:rsid w:val="00F1482D"/>
    <w:rsid w:val="00F90638"/>
    <w:rsid w:val="00FF57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5B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3"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8"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uiPriority w:val="1"/>
    <w:qFormat/>
    <w:rsid w:val="00BE60E7"/>
    <w:rPr>
      <w:rFonts w:ascii="Times New Roman" w:hAnsi="Times New Roman"/>
      <w:sz w:val="24"/>
    </w:rPr>
  </w:style>
  <w:style w:type="paragraph" w:styleId="Heading1">
    <w:name w:val="heading 1"/>
    <w:basedOn w:val="Normal"/>
    <w:uiPriority w:val="2"/>
    <w:qFormat/>
    <w:rsid w:val="00494933"/>
    <w:pPr>
      <w:numPr>
        <w:numId w:val="20"/>
      </w:numPr>
      <w:spacing w:after="240"/>
      <w:ind w:left="720" w:hanging="720"/>
      <w:jc w:val="center"/>
      <w:outlineLvl w:val="0"/>
    </w:pPr>
    <w:rPr>
      <w:rFonts w:ascii="Times New Roman Bold" w:eastAsia="Times New Roman" w:hAnsi="Times New Roman Bold"/>
      <w:b/>
      <w:szCs w:val="24"/>
    </w:rPr>
  </w:style>
  <w:style w:type="paragraph" w:styleId="Heading2">
    <w:name w:val="heading 2"/>
    <w:basedOn w:val="Normal"/>
    <w:uiPriority w:val="3"/>
    <w:qFormat/>
    <w:rsid w:val="00A87283"/>
    <w:pPr>
      <w:spacing w:before="111"/>
      <w:ind w:left="111"/>
      <w:outlineLvl w:val="1"/>
    </w:pPr>
    <w:rPr>
      <w:rFonts w:eastAsia="Times New Roman"/>
      <w: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A87283"/>
    <w:pPr>
      <w:spacing w:line="360" w:lineRule="auto"/>
      <w:ind w:firstLine="720"/>
      <w:jc w:val="both"/>
    </w:pPr>
    <w:rPr>
      <w:rFonts w:eastAsia="Times New Roman"/>
      <w:szCs w:val="23"/>
    </w:rPr>
  </w:style>
  <w:style w:type="paragraph" w:styleId="ListParagraph">
    <w:name w:val="List Paragraph"/>
    <w:basedOn w:val="Normal"/>
    <w:uiPriority w:val="8"/>
    <w:qFormat/>
    <w:rsid w:val="00A87283"/>
  </w:style>
  <w:style w:type="paragraph" w:customStyle="1" w:styleId="TableParagraph">
    <w:name w:val="Table Paragraph"/>
    <w:basedOn w:val="Normal"/>
    <w:uiPriority w:val="1"/>
    <w:qFormat/>
  </w:style>
  <w:style w:type="paragraph" w:customStyle="1" w:styleId="aList">
    <w:name w:val="(a) List"/>
    <w:basedOn w:val="Normal"/>
    <w:qFormat/>
    <w:rsid w:val="000D36F0"/>
    <w:pPr>
      <w:numPr>
        <w:numId w:val="17"/>
      </w:numPr>
      <w:spacing w:before="120" w:after="120" w:line="360" w:lineRule="auto"/>
      <w:ind w:left="1440" w:hanging="720"/>
      <w:jc w:val="both"/>
    </w:pPr>
  </w:style>
  <w:style w:type="character" w:customStyle="1" w:styleId="BodyTextChar">
    <w:name w:val="Body Text Char"/>
    <w:basedOn w:val="DefaultParagraphFont"/>
    <w:link w:val="BodyText"/>
    <w:uiPriority w:val="1"/>
    <w:rsid w:val="00A87283"/>
    <w:rPr>
      <w:rFonts w:ascii="Times New Roman" w:eastAsia="Times New Roman" w:hAnsi="Times New Roman"/>
      <w:sz w:val="24"/>
      <w:szCs w:val="23"/>
    </w:rPr>
  </w:style>
  <w:style w:type="paragraph" w:customStyle="1" w:styleId="CoLNumber">
    <w:name w:val="CoL Number"/>
    <w:basedOn w:val="Normal"/>
    <w:uiPriority w:val="5"/>
    <w:qFormat/>
    <w:rsid w:val="005C5434"/>
    <w:pPr>
      <w:numPr>
        <w:numId w:val="18"/>
      </w:numPr>
      <w:spacing w:before="120" w:after="120" w:line="360" w:lineRule="auto"/>
      <w:ind w:hanging="720"/>
      <w:jc w:val="both"/>
    </w:pPr>
  </w:style>
  <w:style w:type="paragraph" w:customStyle="1" w:styleId="FoFNumber">
    <w:name w:val="FoF Number"/>
    <w:basedOn w:val="Normal"/>
    <w:uiPriority w:val="4"/>
    <w:qFormat/>
    <w:rsid w:val="00F23389"/>
    <w:pPr>
      <w:numPr>
        <w:numId w:val="19"/>
      </w:numPr>
      <w:tabs>
        <w:tab w:val="left" w:pos="720"/>
      </w:tabs>
      <w:spacing w:before="120" w:after="120" w:line="360" w:lineRule="auto"/>
      <w:ind w:left="720" w:hanging="720"/>
      <w:jc w:val="both"/>
    </w:pPr>
  </w:style>
  <w:style w:type="paragraph" w:styleId="FootnoteText">
    <w:name w:val="footnote text"/>
    <w:basedOn w:val="Normal"/>
    <w:link w:val="FootnoteTextChar"/>
    <w:uiPriority w:val="99"/>
    <w:semiHidden/>
    <w:unhideWhenUsed/>
    <w:rsid w:val="00BE60E7"/>
    <w:pPr>
      <w:spacing w:after="120"/>
    </w:pPr>
    <w:rPr>
      <w:sz w:val="20"/>
      <w:szCs w:val="20"/>
    </w:rPr>
  </w:style>
  <w:style w:type="character" w:customStyle="1" w:styleId="FootnoteTextChar">
    <w:name w:val="Footnote Text Char"/>
    <w:basedOn w:val="DefaultParagraphFont"/>
    <w:link w:val="FootnoteText"/>
    <w:uiPriority w:val="99"/>
    <w:semiHidden/>
    <w:rsid w:val="00BE60E7"/>
    <w:rPr>
      <w:rFonts w:ascii="Times New Roman" w:hAnsi="Times New Roman"/>
      <w:sz w:val="20"/>
      <w:szCs w:val="20"/>
    </w:rPr>
  </w:style>
  <w:style w:type="paragraph" w:customStyle="1" w:styleId="OPNumber">
    <w:name w:val="OP Number"/>
    <w:basedOn w:val="Normal"/>
    <w:uiPriority w:val="6"/>
    <w:qFormat/>
    <w:rsid w:val="005C5434"/>
    <w:pPr>
      <w:numPr>
        <w:numId w:val="21"/>
      </w:numPr>
      <w:spacing w:before="120" w:after="120" w:line="360" w:lineRule="auto"/>
      <w:ind w:hanging="720"/>
      <w:jc w:val="both"/>
    </w:pPr>
    <w:rPr>
      <w:w w:val="105"/>
    </w:rPr>
  </w:style>
  <w:style w:type="paragraph" w:customStyle="1" w:styleId="TopicSubheading">
    <w:name w:val="Topic Subheading"/>
    <w:basedOn w:val="BodyText"/>
    <w:next w:val="Normal"/>
    <w:qFormat/>
    <w:rsid w:val="00B70A85"/>
    <w:pPr>
      <w:keepNext/>
      <w:spacing w:after="240" w:line="240" w:lineRule="auto"/>
      <w:ind w:firstLine="0"/>
      <w:outlineLvl w:val="1"/>
    </w:pPr>
    <w:rPr>
      <w:b/>
      <w:i/>
      <w:u w:val="single"/>
    </w:rPr>
  </w:style>
  <w:style w:type="paragraph" w:customStyle="1" w:styleId="NarrativeSummary1">
    <w:name w:val="Narrative Summary 1"/>
    <w:basedOn w:val="Normal"/>
    <w:rsid w:val="00A87283"/>
    <w:pPr>
      <w:widowControl/>
      <w:tabs>
        <w:tab w:val="left" w:pos="720"/>
        <w:tab w:val="left" w:pos="1440"/>
        <w:tab w:val="left" w:pos="2160"/>
        <w:tab w:val="left" w:pos="2880"/>
      </w:tabs>
      <w:spacing w:line="480" w:lineRule="auto"/>
      <w:jc w:val="center"/>
    </w:pPr>
    <w:rPr>
      <w:rFonts w:eastAsia="Times New Roman" w:cs="Times New Roman"/>
      <w:b/>
      <w:szCs w:val="24"/>
    </w:rPr>
  </w:style>
  <w:style w:type="character" w:styleId="FootnoteReference">
    <w:name w:val="footnote reference"/>
    <w:basedOn w:val="DefaultParagraphFont"/>
    <w:uiPriority w:val="99"/>
    <w:semiHidden/>
    <w:unhideWhenUsed/>
    <w:rsid w:val="000D36F0"/>
    <w:rPr>
      <w:vertAlign w:val="superscript"/>
    </w:rPr>
  </w:style>
  <w:style w:type="paragraph" w:styleId="Header">
    <w:name w:val="header"/>
    <w:basedOn w:val="Normal"/>
    <w:link w:val="HeaderChar"/>
    <w:uiPriority w:val="99"/>
    <w:unhideWhenUsed/>
    <w:rsid w:val="00E84086"/>
    <w:pPr>
      <w:tabs>
        <w:tab w:val="center" w:pos="4680"/>
        <w:tab w:val="right" w:pos="9360"/>
      </w:tabs>
    </w:pPr>
  </w:style>
  <w:style w:type="character" w:customStyle="1" w:styleId="HeaderChar">
    <w:name w:val="Header Char"/>
    <w:basedOn w:val="DefaultParagraphFont"/>
    <w:link w:val="Header"/>
    <w:uiPriority w:val="99"/>
    <w:rsid w:val="00E84086"/>
    <w:rPr>
      <w:rFonts w:ascii="Times New Roman" w:hAnsi="Times New Roman"/>
      <w:sz w:val="24"/>
    </w:rPr>
  </w:style>
  <w:style w:type="paragraph" w:styleId="Footer">
    <w:name w:val="footer"/>
    <w:basedOn w:val="Normal"/>
    <w:link w:val="FooterChar"/>
    <w:uiPriority w:val="99"/>
    <w:unhideWhenUsed/>
    <w:rsid w:val="00E84086"/>
    <w:pPr>
      <w:tabs>
        <w:tab w:val="center" w:pos="4680"/>
        <w:tab w:val="right" w:pos="9360"/>
      </w:tabs>
    </w:pPr>
  </w:style>
  <w:style w:type="character" w:customStyle="1" w:styleId="FooterChar">
    <w:name w:val="Footer Char"/>
    <w:basedOn w:val="DefaultParagraphFont"/>
    <w:link w:val="Footer"/>
    <w:uiPriority w:val="99"/>
    <w:rsid w:val="00E84086"/>
    <w:rPr>
      <w:rFonts w:ascii="Times New Roman" w:hAnsi="Times New Roman"/>
      <w:sz w:val="24"/>
    </w:rPr>
  </w:style>
  <w:style w:type="paragraph" w:styleId="BalloonText">
    <w:name w:val="Balloon Text"/>
    <w:basedOn w:val="Normal"/>
    <w:link w:val="BalloonTextChar"/>
    <w:uiPriority w:val="99"/>
    <w:semiHidden/>
    <w:unhideWhenUsed/>
    <w:rsid w:val="00B730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020"/>
    <w:rPr>
      <w:rFonts w:ascii="Segoe UI" w:hAnsi="Segoe UI" w:cs="Segoe UI"/>
      <w:sz w:val="18"/>
      <w:szCs w:val="18"/>
    </w:rPr>
  </w:style>
  <w:style w:type="character" w:styleId="CommentReference">
    <w:name w:val="annotation reference"/>
    <w:basedOn w:val="DefaultParagraphFont"/>
    <w:uiPriority w:val="99"/>
    <w:semiHidden/>
    <w:unhideWhenUsed/>
    <w:rsid w:val="00EF6CAE"/>
    <w:rPr>
      <w:sz w:val="16"/>
      <w:szCs w:val="16"/>
    </w:rPr>
  </w:style>
  <w:style w:type="paragraph" w:styleId="CommentText">
    <w:name w:val="annotation text"/>
    <w:basedOn w:val="Normal"/>
    <w:link w:val="CommentTextChar"/>
    <w:uiPriority w:val="99"/>
    <w:semiHidden/>
    <w:unhideWhenUsed/>
    <w:rsid w:val="00EF6CAE"/>
    <w:rPr>
      <w:sz w:val="20"/>
      <w:szCs w:val="20"/>
    </w:rPr>
  </w:style>
  <w:style w:type="character" w:customStyle="1" w:styleId="CommentTextChar">
    <w:name w:val="Comment Text Char"/>
    <w:basedOn w:val="DefaultParagraphFont"/>
    <w:link w:val="CommentText"/>
    <w:uiPriority w:val="99"/>
    <w:semiHidden/>
    <w:rsid w:val="00EF6CA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F6CAE"/>
    <w:rPr>
      <w:b/>
      <w:bCs/>
    </w:rPr>
  </w:style>
  <w:style w:type="character" w:customStyle="1" w:styleId="CommentSubjectChar">
    <w:name w:val="Comment Subject Char"/>
    <w:basedOn w:val="CommentTextChar"/>
    <w:link w:val="CommentSubject"/>
    <w:uiPriority w:val="99"/>
    <w:semiHidden/>
    <w:rsid w:val="00EF6CAE"/>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3800</Words>
  <Characters>21660</Characters>
  <Application>Microsoft Office Word</Application>
  <DocSecurity>0</DocSecurity>
  <Lines>180</Lines>
  <Paragraphs>50</Paragraphs>
  <ScaleCrop>false</ScaleCrop>
  <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2020-09-03T18:36:00Z</dcterms:created>
  <dcterms:modified xsi:type="dcterms:W3CDTF">2020-09-03T18:36:00Z</dcterms:modified>
</cp:coreProperties>
</file>